
<file path=[Content_Types].xml><?xml version="1.0" encoding="utf-8"?>
<Types xmlns="http://schemas.openxmlformats.org/package/2006/content-types">
  <Default Extension="png" ContentType="image/pn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pStyle w:val="Heading1"/>
        <w:rPr/>
      </w:pPr>
      <w:r>
        <w:rPr>
          <w:rtl w:val="0"/>
        </w:rPr>
        <w:t xml:space="preserve">Colour-blind Series: Deuteranopia</w:t>
      </w:r>
    </w:p>
    <w:p>
      <w:pPr>
        <w:pStyle w:val="Heading2"/>
        <w:rPr/>
      </w:pPr>
      <w:r>
        <w:rPr>
          <w:rtl w:val="0"/>
        </w:rPr>
        <w:t xml:space="preserve">What is it for?</w:t>
      </w:r>
    </w:p>
    <w:p>
      <w:pPr>
        <w:rPr/>
      </w:pPr>
      <w:r>
        <w:rPr>
          <w:rtl w:val="0"/>
        </w:rPr>
        <w:t xml:space="preserve">Deuteranopia is a form of colour blindness that affects the ability to see green. Like Protanopia, it is a type of "red-green colour blindness". Protanopia affects the cells that sense red. Deuteranopia affects the cells that sense green. It is actually the more common of the two, affecting about 1% of men. It is very rare in women.</w:t>
      </w:r>
    </w:p>
    <w:p>
      <w:pPr>
        <w:rPr/>
      </w:pPr>
      <w:r>
        <w:rPr>
          <w:rtl w:val="0"/>
        </w:rPr>
        <w:t xml:space="preserve">In practice, the experience is similar. Red and green become very difficult to tell apart, making colour-coded information unreliable. A traffic light style status indicator, a heatmap, or a form validation message relying on red and green will all present the same challenge.</w:t>
      </w:r>
    </w:p>
    <w:p>
      <w:pPr>
        <w:rPr/>
      </w:pPr>
      <w:r>
        <w:rPr>
          <w:rtl w:val="0"/>
        </w:rPr>
        <w:t xml:space="preserve">Deuteranopia is part of a broader family of colour vision deficiencies, and this Colour-blind Series looks at each of the main types. Each type affects a different part of the colour range, but they all teach the same lesson: never rely on colour alone to share something important.</w:t>
      </w:r>
    </w:p>
    <w:p>
      <w:pPr>
        <w:pStyle w:val="Heading2"/>
        <w:rPr/>
      </w:pPr>
      <w:r>
        <w:rPr>
          <w:rtl w:val="0"/>
        </w:rPr>
        <w:t xml:space="preserve">How to support it</w:t>
      </w:r>
    </w:p>
    <w:p>
      <w:pPr>
        <w:rPr/>
      </w:pPr>
      <w:r>
        <w:rPr>
          <w:rtl w:val="0"/>
        </w:rPr>
        <w:t xml:space="preserve">The key principle is that colour should always be paired with another visual cue.</w:t>
      </w:r>
    </w:p>
    <w:p>
      <w:pPr>
        <w:numPr>
          <w:ilvl w:val="0"/>
          <w:numId w:val="48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Designers can add icons, labels, or patterns next to colour to show meaning. They can also use </w:t>
      </w:r>
      <w:hyperlink r:id="rId107">
        <w:r>
          <w:rPr>
            <w:color w:val="5B2A99"/>
            <w:u w:val="single"/>
            <w:rtl w:val="0"/>
          </w:rPr>
          <w:t xml:space="preserve">colour blind simulation tools</w:t>
        </w:r>
      </w:hyperlink>
      <w:r>
        <w:rPr>
          <w:rtl w:val="0"/>
        </w:rPr>
        <w:t xml:space="preserve"> to check designs before they are built.</w:t>
      </w:r>
    </w:p>
    <w:p>
      <w:pPr>
        <w:numPr>
          <w:ilvl w:val="0"/>
          <w:numId w:val="48"/>
        </w:numPr>
        <w:spacing w:after="0" w:afterAutospacing="0"/>
        <w:ind w:left="720" w:hanging="360"/>
        <w:rPr>
          <w:u w:val="none"/>
        </w:rPr>
      </w:pPr>
      <w:r>
        <w:rPr>
          <w:rtl w:val="0"/>
        </w:rPr>
        <w:t xml:space="preserve">Developers can ensure interactive states like errors and warnings are distinguishable by more than just colour (e.g. by using icons or supporting text).</w:t>
      </w:r>
    </w:p>
    <w:p>
      <w:pPr>
        <w:numPr>
          <w:ilvl w:val="0"/>
          <w:numId w:val="48"/>
        </w:numPr>
        <w:ind w:left="720" w:hanging="360"/>
        <w:rPr>
          <w:u w:val="none"/>
        </w:rPr>
      </w:pPr>
      <w:r>
        <w:rPr>
          <w:rtl w:val="0"/>
        </w:rPr>
        <w:t xml:space="preserve">Content writers can make sure any meaning shown through colour is also stated in words.</w:t>
      </w:r>
    </w:p>
    <w:p>
      <w:pPr>
        <w:pStyle w:val="Heading2"/>
        <w:rPr/>
      </w:pPr>
      <w:r>
        <w:rPr>
          <w:rtl w:val="0"/>
        </w:rPr>
        <w:t xml:space="preserve">Useful links</w:t>
      </w:r>
    </w:p>
    <w:p>
      <w:pPr>
        <w:widowControl w:val="0"/>
        <w:numPr>
          <w:ilvl w:val="0"/>
          <w:numId w:val="49"/>
        </w:numPr>
        <w:spacing w:after="0" w:lineRule="auto"/>
        <w:ind w:left="720" w:hanging="360"/>
        <w:rPr>
          <w:sz w:val="28"/>
          <w:szCs w:val="28"/>
        </w:rPr>
      </w:pPr>
      <w:hyperlink r:id="rId108">
        <w:r>
          <w:rPr>
            <w:color w:val="5B2A99"/>
            <w:u w:val="single"/>
            <w:rtl w:val="0"/>
          </w:rPr>
          <w:t xml:space="preserve">Web Content Accessibility Guidelines (WCAG) 1.4.1: Use of Colour</w:t>
        </w:r>
      </w:hyperlink>
    </w:p>
    <w:p>
      <w:pPr>
        <w:widowControl w:val="0"/>
        <w:numPr>
          <w:ilvl w:val="0"/>
          <w:numId w:val="49"/>
        </w:numPr>
        <w:spacing w:after="0" w:lineRule="auto"/>
        <w:ind w:left="720" w:hanging="360"/>
        <w:rPr>
          <w:sz w:val="28"/>
          <w:szCs w:val="28"/>
        </w:rPr>
      </w:pPr>
      <w:hyperlink r:id="rId109">
        <w:r>
          <w:rPr>
            <w:color w:val="5B2A99"/>
            <w:u w:val="single"/>
            <w:rtl w:val="0"/>
          </w:rPr>
          <w:t xml:space="preserve">Colour Blindness Simulator (Coblis)</w:t>
        </w:r>
      </w:hyperlink>
    </w:p>
    <w:p>
      <w:pPr>
        <w:widowControl w:val="0"/>
        <w:numPr>
          <w:ilvl w:val="0"/>
          <w:numId w:val="49"/>
        </w:numPr>
        <w:spacing w:after="0" w:lineRule="auto"/>
        <w:ind w:left="720" w:hanging="360"/>
        <w:rPr>
          <w:sz w:val="28"/>
          <w:szCs w:val="28"/>
        </w:rPr>
      </w:pPr>
      <w:hyperlink r:id="rId110">
        <w:r>
          <w:rPr>
            <w:color w:val="5B2A99"/>
            <w:u w:val="single"/>
            <w:rtl w:val="0"/>
          </w:rPr>
          <w:t xml:space="preserve">Colour and Accessibility (WebAIM)</w:t>
        </w:r>
      </w:hyperlink>
      <w:r>
        <w:br w:type="page"/>
      </w:r>
    </w:p>
    <w:sectPr>
      <w:footerReference w:type="default" r:id="rId186"/>
      <w:pgSz w:h="16834" w:w="11909" w:orient="portrait"/>
      <w:pgMar w:gutter="0"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tkinson Hyperlegible Next"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  <w:font w:name="Atkinson Hyperlegible Mono"/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7"/>
    <w:lvlOverride w:ilvl="0">
      <w:startOverride w:val="1"/>
    </w:lvlOverride>
  </w:num>
  <w:num w:numId="40">
    <w:abstractNumId w:val="32"/>
    <w:lvlOverride w:ilvl="0">
      <w:startOverride w:val="1"/>
    </w:lvlOverride>
  </w:num>
  <w:num w:numId="41">
    <w:abstractNumId w:val="32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32"/>
    <w:lvlOverride w:ilvl="0">
      <w:startOverride w:val="1"/>
    </w:lvlOverride>
  </w:num>
  <w:num w:numId="44">
    <w:abstractNumId w:val="23"/>
    <w:lvlOverride w:ilvl="0">
      <w:startOverride w:val="1"/>
    </w:lvlOverride>
  </w:num>
  <w:num w:numId="45">
    <w:abstractNumId w:val="23"/>
    <w:lvlOverride w:ilvl="0">
      <w:startOverride w:val="1"/>
    </w:lvlOverride>
  </w:num>
  <w:num w:numId="46">
    <w:abstractNumId w:val="32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32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32"/>
    <w:lvlOverride w:ilvl="0">
      <w:startOverride w:val="1"/>
    </w:lvlOverride>
  </w:num>
  <w:num w:numId="51">
    <w:abstractNumId w:val="23"/>
    <w:lvlOverride w:ilvl="0">
      <w:startOverride w:val="1"/>
    </w:lvlOverride>
  </w:num>
  <w:num w:numId="52">
    <w:abstractNumId w:val="32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2"/>
    <w:lvlOverride w:ilvl="0">
      <w:startOverride w:val="1"/>
    </w:lvlOverride>
  </w:num>
  <w:num w:numId="55">
    <w:abstractNumId w:val="23"/>
    <w:lvlOverride w:ilvl="0">
      <w:startOverride w:val="1"/>
    </w:lvlOverride>
  </w:num>
  <w:num w:numId="56">
    <w:abstractNumId w:val="32"/>
    <w:lvlOverride w:ilvl="0">
      <w:startOverride w:val="1"/>
    </w:lvlOverride>
  </w:num>
  <w:num w:numId="57">
    <w:abstractNumId w:val="32"/>
    <w:lvlOverride w:ilvl="0">
      <w:startOverride w:val="1"/>
    </w:lvlOverride>
  </w:num>
  <w:num w:numId="58">
    <w:abstractNumId w:val="23"/>
    <w:lvlOverride w:ilvl="0">
      <w:startOverride w:val="1"/>
    </w:lvlOverride>
  </w:num>
  <w:num w:numId="59">
    <w:abstractNumId w:val="32"/>
    <w:lvlOverride w:ilvl="0">
      <w:startOverride w:val="1"/>
    </w:lvlOverride>
  </w:num>
  <w:num w:numId="60">
    <w:abstractNumId w:val="23"/>
    <w:lvlOverride w:ilvl="0">
      <w:startOverride w:val="1"/>
    </w:lvlOverride>
  </w:num>
  <w:num w:numId="61">
    <w:abstractNumId w:val="32"/>
    <w:lvlOverride w:ilvl="0">
      <w:startOverride w:val="1"/>
    </w:lvlOverride>
  </w:num>
  <w:num w:numId="62">
    <w:abstractNumId w:val="32"/>
    <w:lvlOverride w:ilvl="0">
      <w:startOverride w:val="1"/>
    </w:lvlOverride>
  </w:num>
  <w:num w:numId="63">
    <w:abstractNumId w:val="23"/>
    <w:lvlOverride w:ilvl="0">
      <w:startOverride w:val="1"/>
    </w:lvlOverride>
  </w:num>
  <w:num w:numId="64">
    <w:abstractNumId w:val="32"/>
    <w:lvlOverride w:ilvl="0">
      <w:startOverride w:val="1"/>
    </w:lvlOverride>
  </w:num>
  <w:num w:numId="65">
    <w:abstractNumId w:val="32"/>
    <w:lvlOverride w:ilvl="0">
      <w:startOverride w:val="1"/>
    </w:lvlOverride>
  </w:num>
  <w:num w:numId="66">
    <w:abstractNumId w:val="23"/>
    <w:lvlOverride w:ilvl="0">
      <w:startOverride w:val="1"/>
    </w:lvlOverride>
  </w:num>
  <w:num w:numId="67">
    <w:abstractNumId w:val="32"/>
    <w:lvlOverride w:ilvl="0">
      <w:startOverride w:val="1"/>
    </w:lvlOverride>
  </w:num>
  <w:num w:numId="68">
    <w:abstractNumId w:val="32"/>
    <w:lvlOverride w:ilvl="0">
      <w:startOverride w:val="1"/>
    </w:lvlOverride>
  </w:num>
  <w:num w:numId="69">
    <w:abstractNumId w:val="23"/>
    <w:lvlOverride w:ilvl="0">
      <w:startOverride w:val="1"/>
    </w:lvlOverride>
  </w:num>
  <w:num w:numId="70">
    <w:abstractNumId w:val="32"/>
    <w:lvlOverride w:ilvl="0">
      <w:startOverride w:val="1"/>
    </w:lvlOverride>
  </w:num>
  <w:num w:numId="71">
    <w:abstractNumId w:val="23"/>
    <w:lvlOverride w:ilvl="0">
      <w:startOverride w:val="1"/>
    </w:lvlOverride>
  </w:num>
  <w:num w:numId="72">
    <w:abstractNumId w:val="32"/>
    <w:lvlOverride w:ilvl="0">
      <w:startOverride w:val="1"/>
    </w:lvlOverride>
  </w:num>
  <w:num w:numId="73">
    <w:abstractNumId w:val="23"/>
    <w:lvlOverride w:ilvl="0">
      <w:startOverride w:val="1"/>
    </w:lvlOverride>
  </w:num>
  <w:num w:numId="74">
    <w:abstractNumId w:val="32"/>
    <w:lvlOverride w:ilvl="0">
      <w:startOverride w:val="1"/>
    </w:lvlOverride>
  </w:num>
  <w:num w:numId="75">
    <w:abstractNumId w:val="37"/>
    <w:lvlOverride w:ilvl="0">
      <w:startOverride w:val="1"/>
    </w:lvlOverride>
  </w:num>
  <w:num w:numId="76">
    <w:abstractNumId w:val="23"/>
    <w:lvlOverride w:ilvl="0">
      <w:startOverride w:val="1"/>
    </w:lvlOverride>
  </w:num>
  <w:num w:numId="77">
    <w:abstractNumId w:val="32"/>
    <w:lvlOverride w:ilvl="0">
      <w:startOverride w:val="1"/>
    </w:lvlOverride>
  </w:num>
  <w:num w:numId="78">
    <w:abstractNumId w:val="32"/>
    <w:lvlOverride w:ilvl="0">
      <w:startOverride w:val="1"/>
    </w:lvlOverride>
  </w:num>
  <w:num w:numId="79">
    <w:abstractNumId w:val="32"/>
    <w:lvlOverride w:ilvl="0">
      <w:startOverride w:val="1"/>
    </w:lvlOverride>
  </w:num>
  <w:num w:numId="80">
    <w:abstractNumId w:val="23"/>
    <w:lvlOverride w:ilvl="0">
      <w:startOverride w:val="1"/>
    </w:lvlOverride>
  </w:num>
  <w:num w:numId="81">
    <w:abstractNumId w:val="32"/>
    <w:lvlOverride w:ilvl="0">
      <w:startOverride w:val="1"/>
    </w:lvlOverride>
  </w:num>
  <w:num w:numId="82">
    <w:abstractNumId w:val="23"/>
    <w:lvlOverride w:ilvl="0">
      <w:startOverride w:val="1"/>
    </w:lvlOverride>
  </w:num>
  <w:num w:numId="83">
    <w:abstractNumId w:val="32"/>
    <w:lvlOverride w:ilvl="0">
      <w:startOverride w:val="1"/>
    </w:lvlOverride>
  </w:num>
  <w:num w:numId="84">
    <w:abstractNumId w:val="32"/>
    <w:lvlOverride w:ilvl="0">
      <w:startOverride w:val="1"/>
    </w:lvlOverride>
  </w:num>
  <w:num w:numId="85">
    <w:abstractNumId w:val="23"/>
    <w:lvlOverride w:ilvl="0">
      <w:startOverride w:val="1"/>
    </w:lvlOverride>
  </w:num>
  <w:num w:numId="86">
    <w:abstractNumId w:val="32"/>
    <w:lvlOverride w:ilvl="0">
      <w:startOverride w:val="1"/>
    </w:lvlOverride>
  </w:num>
  <w:num w:numId="87">
    <w:abstractNumId w:val="32"/>
    <w:lvlOverride w:ilvl="0">
      <w:startOverride w:val="1"/>
    </w:lvlOverride>
  </w:num>
  <w:num w:numId="88">
    <w:abstractNumId w:val="23"/>
    <w:lvlOverride w:ilvl="0">
      <w:startOverride w:val="1"/>
    </w:lvlOverride>
  </w:num>
  <w:num w:numId="89">
    <w:abstractNumId w:val="32"/>
    <w:lvlOverride w:ilvl="0">
      <w:startOverride w:val="1"/>
    </w:lvlOverride>
  </w:num>
  <w:num w:numId="90">
    <w:abstractNumId w:val="32"/>
    <w:lvlOverride w:ilvl="0">
      <w:startOverride w:val="1"/>
    </w:lvlOverride>
  </w:num>
  <w:num w:numId="91">
    <w:abstractNumId w:val="23"/>
    <w:lvlOverride w:ilvl="0">
      <w:startOverride w:val="1"/>
    </w:lvlOverride>
  </w:num>
  <w:num w:numId="92">
    <w:abstractNumId w:val="32"/>
    <w:lvlOverride w:ilvl="0">
      <w:startOverride w:val="1"/>
    </w:lvlOverride>
  </w:num>
  <w:num w:numId="93">
    <w:abstractNumId w:val="23"/>
    <w:lvlOverride w:ilvl="0">
      <w:startOverride w:val="1"/>
    </w:lvlOverride>
  </w:num>
  <w:num w:numId="94">
    <w:abstractNumId w:val="32"/>
    <w:lvlOverride w:ilvl="0">
      <w:startOverride w:val="1"/>
    </w:lvlOverride>
  </w:num>
  <w:num w:numId="95">
    <w:abstractNumId w:val="23"/>
    <w:lvlOverride w:ilvl="0">
      <w:startOverride w:val="1"/>
    </w:lvlOverride>
  </w:num>
  <w:num w:numId="96">
    <w:abstractNumId w:val="32"/>
    <w:lvlOverride w:ilvl="0">
      <w:startOverride w:val="1"/>
    </w:lvlOverride>
  </w:num>
  <w:num w:numId="97">
    <w:abstractNumId w:val="32"/>
    <w:lvlOverride w:ilvl="0">
      <w:startOverride w:val="1"/>
    </w:lvlOverride>
  </w:num>
  <w:num w:numId="98">
    <w:abstractNumId w:val="32"/>
    <w:lvlOverride w:ilvl="0">
      <w:startOverride w:val="1"/>
    </w:lvlOverride>
  </w:num>
  <w:num w:numId="99">
    <w:abstractNumId w:val="32"/>
    <w:lvlOverride w:ilvl="0">
      <w:startOverride w:val="1"/>
    </w:lvlOverride>
  </w:num>
  <w:num w:numId="100">
    <w:abstractNumId w:val="23"/>
    <w:lvlOverride w:ilvl="0">
      <w:startOverride w:val="1"/>
    </w:lvlOverride>
  </w:num>
  <w:num w:numId="101">
    <w:abstractNumId w:val="32"/>
    <w:lvlOverride w:ilvl="0">
      <w:startOverride w:val="1"/>
    </w:lvlOverride>
  </w:num>
  <w:num w:numId="102">
    <w:abstractNumId w:val="32"/>
    <w:lvlOverride w:ilvl="0">
      <w:startOverride w:val="1"/>
    </w:lvlOverride>
  </w:num>
  <w:num w:numId="103">
    <w:abstractNumId w:val="23"/>
    <w:lvlOverride w:ilvl="0">
      <w:startOverride w:val="1"/>
    </w:lvlOverride>
  </w:num>
  <w:num w:numId="104">
    <w:abstractNumId w:val="32"/>
    <w:lvlOverride w:ilvl="0">
      <w:startOverride w:val="1"/>
    </w:lvlOverride>
  </w:num>
  <w:num w:numId="105">
    <w:abstractNumId w:val="23"/>
    <w:lvlOverride w:ilvl="0">
      <w:startOverride w:val="1"/>
    </w:lvlOverride>
  </w:num>
  <w:num w:numId="106">
    <w:abstractNumId w:val="32"/>
    <w:lvlOverride w:ilvl="0">
      <w:startOverride w:val="1"/>
    </w:lvlOverride>
  </w:num>
  <w:num w:numId="107">
    <w:abstractNumId w:val="23"/>
    <w:lvlOverride w:ilvl="0">
      <w:startOverride w:val="1"/>
    </w:lvlOverride>
  </w:num>
  <w:num w:numId="108">
    <w:abstractNumId w:val="32"/>
    <w:lvlOverride w:ilvl="0">
      <w:startOverride w:val="1"/>
    </w:lvlOverride>
  </w:num>
  <w:num w:numId="109">
    <w:abstractNumId w:val="23"/>
    <w:lvlOverride w:ilvl="0">
      <w:startOverride w:val="1"/>
    </w:lvlOverride>
  </w:num>
  <w:num w:numId="110">
    <w:abstractNumId w:val="32"/>
    <w:lvlOverride w:ilvl="0">
      <w:startOverride w:val="1"/>
    </w:lvlOverride>
  </w:num>
  <w:num w:numId="111">
    <w:abstractNumId w:val="23"/>
    <w:lvlOverride w:ilvl="0">
      <w:startOverride w:val="1"/>
    </w:lvlOverride>
  </w:num>
  <w:num w:numId="112">
    <w:abstractNumId w:val="37"/>
    <w:lvlOverride w:ilvl="0">
      <w:startOverride w:val="1"/>
    </w:lvlOverride>
  </w:num>
  <w:num w:numId="113">
    <w:abstractNumId w:val="37"/>
    <w:lvlOverride w:ilvl="0">
      <w:startOverride w:val="1"/>
    </w:lvlOverride>
  </w:num>
  <w:num w:numId="114">
    <w:abstractNumId w:val="23"/>
    <w:lvlOverride w:ilvl="0">
      <w:startOverride w:val="1"/>
    </w:lvlOverride>
  </w:num>
  <w:num w:numId="115">
    <w:abstractNumId w:val="32"/>
    <w:lvlOverride w:ilvl="0">
      <w:startOverride w:val="1"/>
    </w:lvlOverride>
  </w:num>
  <w:num w:numId="116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 Next" w:cs="Atkinson Hyperlegible Next" w:eastAsia="Atkinson Hyperlegible Next" w:hAnsi="Atkinson Hyperlegible Next"/>
        <w:sz w:val="24"/>
        <w:szCs w:val="24"/>
        <w:lang w:val="en-GB"/>
      </w:rPr>
    </w:rPrDefault>
    <w:pPrDefault>
      <w:pPr>
        <w:spacing w:after="28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rFonts w:ascii="Atkinson Hyperlegible Next" w:cs="Atkinson Hyperlegible Next" w:eastAsia="Atkinson Hyperlegible Next" w:hAnsi="Atkinson Hyperlegible Next"/>
      <w:color w:val="5B2A99"/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after="240" w:before="240" w:lineRule="auto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545454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tkinson Hyperlegible Next" w:cs="Atkinson Hyperlegible Next" w:eastAsia="Atkinson Hyperlegible Next" w:hAnsi="Atkinson Hyperlegible Next"/>
      <w:i w:val="0"/>
      <w:iCs w:val="0"/>
      <w:color w:val="545454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107" Type="http://schemas.openxmlformats.org/officeDocument/2006/relationships/hyperlink" Target="https://chromewebstore.google.com/detail/web-disability-simulator/olioanlbgbpmdlgjnnampnnlohigkjla" TargetMode="External"/><Relationship Id="rId108" Type="http://schemas.openxmlformats.org/officeDocument/2006/relationships/hyperlink" Target="https://www.w3.org/WAI/WCAG21/Understanding/use-of-color.html" TargetMode="External"/><Relationship Id="rId109" Type="http://schemas.openxmlformats.org/officeDocument/2006/relationships/hyperlink" Target="https://www.color-blindness.com/coblis-color-blindness-simulator/" TargetMode="External"/><Relationship Id="rId110" Type="http://schemas.openxmlformats.org/officeDocument/2006/relationships/hyperlink" Target="https://webaim.org/articles/visual/colorblind" TargetMode="External"/><Relationship Id="rId186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Colour-blind Series: Deuteranopia</dc:title>
  <dc:subject>Inclusion Toolkit</dc:subject>
  <dc:creator>Abi Harrison-Nye</dc:creator>
  <cp:lastModifiedBy>Abi Harrison-Nye</cp:lastModifiedBy>
  <dc:language>en-GB</dc:language>
</cp:coreProperties>
</file>