
<file path=[Content_Types].xml><?xml version="1.0" encoding="utf-8"?>
<Types xmlns="http://schemas.openxmlformats.org/package/2006/content-types">
  <Default Extension="png" ContentType="image/pn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PartName="/docProps/core.xml" ContentType="application/vnd.openxmlformats-package.core-properti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Core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CE">
      <w:pPr>
        <w:pStyle w:val="Heading1"/>
        <w:rPr/>
      </w:pPr>
      <w:bookmarkStart w:colFirst="0" w:colLast="0" w:name="_odqaqv9dvs8" w:id="55"/>
      <w:bookmarkEnd w:id="55"/>
      <w:r w:rsidDel="00000000" w:rsidR="00000000" w:rsidRPr="00000000">
        <w:rPr>
          <w:rtl w:val="0"/>
        </w:rPr>
        <w:t xml:space="preserve">Colour Blindness</w:t>
      </w:r>
    </w:p>
    <w:p w:rsidR="00000000" w:rsidDel="00000000" w:rsidP="00000000" w:rsidRDefault="00000000" w:rsidRPr="00000000" w14:paraId="000000CF">
      <w:pPr>
        <w:pStyle w:val="Heading2"/>
        <w:rPr/>
      </w:pPr>
      <w:bookmarkStart w:colFirst="0" w:colLast="0" w:name="_1pd0wf5gzfy7" w:id="56"/>
      <w:bookmarkEnd w:id="56"/>
      <w:r w:rsidDel="00000000" w:rsidR="00000000" w:rsidRPr="00000000">
        <w:rPr>
          <w:rtl w:val="0"/>
        </w:rPr>
        <w:t xml:space="preserve">What is it for?</w:t>
      </w:r>
    </w:p>
    <w:p w:rsidR="00000000" w:rsidDel="00000000" w:rsidP="00000000" w:rsidRDefault="00000000" w:rsidRPr="00000000" w14:paraId="000000D0">
      <w:pPr>
        <w:rPr/>
      </w:pPr>
      <w:r w:rsidDel="00000000" w:rsidR="00000000" w:rsidRPr="00000000">
        <w:rPr>
          <w:rtl w:val="0"/>
        </w:rPr>
        <w:t xml:space="preserve">Colour blindness (or Colour Vision Deficiency) is about more than just seeing in black and white. It affects roughly 1 in 12 men and 1 in 200 women. It changes how people perceive the world, which is a huge issue if colour is the only way information is conveyed. For example, a 'red for error' and 'green for success' status light might look the same to someone with red-green colour blindness.</w:t>
      </w:r>
    </w:p>
    <w:p w:rsidR="00000000" w:rsidDel="00000000" w:rsidP="00000000" w:rsidRDefault="00000000" w:rsidRPr="00000000" w14:paraId="000000D1">
      <w:pPr>
        <w:pStyle w:val="Heading2"/>
        <w:rPr/>
      </w:pPr>
      <w:bookmarkStart w:colFirst="0" w:colLast="0" w:name="_a5wgj37ljrht" w:id="57"/>
      <w:bookmarkEnd w:id="57"/>
      <w:r w:rsidDel="00000000" w:rsidR="00000000" w:rsidRPr="00000000">
        <w:rPr>
          <w:rtl w:val="0"/>
        </w:rPr>
        <w:t xml:space="preserve">How to support it</w:t>
      </w:r>
    </w:p>
    <w:p w:rsidR="00000000" w:rsidDel="00000000" w:rsidP="00000000" w:rsidRDefault="00000000" w:rsidRPr="00000000" w14:paraId="000000D2">
      <w:pPr>
        <w:rPr/>
      </w:pPr>
      <w:r w:rsidDel="00000000" w:rsidR="00000000" w:rsidRPr="00000000">
        <w:rPr>
          <w:rtl w:val="0"/>
        </w:rPr>
        <w:t xml:space="preserve">Design content to accommodate the various ways that people see. Here are the main types:</w:t>
      </w:r>
    </w:p>
    <w:p w:rsidR="00000000" w:rsidDel="00000000" w:rsidP="00000000" w:rsidRDefault="00000000" w:rsidRPr="00000000" w14:paraId="000000D3">
      <w:pPr>
        <w:numPr>
          <w:ilvl w:val="0"/>
          <w:numId w:val="8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Red-Green is the most common, and it has two main types:</w:t>
      </w:r>
    </w:p>
    <w:p w:rsidR="00000000" w:rsidDel="00000000" w:rsidP="00000000" w:rsidRDefault="00000000" w:rsidRPr="00000000" w14:paraId="000000D4">
      <w:pPr>
        <w:numPr>
          <w:ilvl w:val="1"/>
          <w:numId w:val="8"/>
        </w:numPr>
        <w:spacing w:after="0" w:after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Protanopia - Red light looks dark. Crucially, purple often looks just like blue to these users.</w:t>
      </w:r>
    </w:p>
    <w:p w:rsidR="00000000" w:rsidDel="00000000" w:rsidP="00000000" w:rsidRDefault="00000000" w:rsidRPr="00000000" w14:paraId="000000D5">
      <w:pPr>
        <w:numPr>
          <w:ilvl w:val="1"/>
          <w:numId w:val="8"/>
        </w:numPr>
        <w:spacing w:after="0" w:after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Deuteranopia - Green light is hard to detect. This means red and green can look almost identical (often a muddy yellow-brown).</w:t>
      </w:r>
    </w:p>
    <w:p w:rsidR="00000000" w:rsidDel="00000000" w:rsidP="00000000" w:rsidRDefault="00000000" w:rsidRPr="00000000" w14:paraId="000000D6">
      <w:pPr>
        <w:numPr>
          <w:ilvl w:val="0"/>
          <w:numId w:val="8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Blue-Yellow (Tritanopia) is much rarer. It makes it hard to distinguish between blue and green, or yellow and red.</w:t>
      </w:r>
    </w:p>
    <w:p w:rsidR="00000000" w:rsidDel="00000000" w:rsidP="00000000" w:rsidRDefault="00000000" w:rsidRPr="00000000" w14:paraId="000000D7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Monochromacy is very rare. This is seeing no colour at all, only shades of grey.</w:t>
      </w:r>
    </w:p>
    <w:p w:rsidR="00000000" w:rsidDel="00000000" w:rsidP="00000000" w:rsidRDefault="00000000" w:rsidRPr="00000000" w14:paraId="000000D8">
      <w:pPr>
        <w:rPr/>
      </w:pPr>
      <w:r w:rsidDel="00000000" w:rsidR="00000000" w:rsidRPr="00000000">
        <w:rPr>
          <w:rtl w:val="0"/>
        </w:rPr>
        <w:t xml:space="preserve">To make your work accessible, never rely on colour alone. Always add a text label, an icon, or a pattern (like hatching on a chart) so the information is clear regardless of the colour.</w:t>
      </w:r>
    </w:p>
    <w:p w:rsidR="00000000" w:rsidDel="00000000" w:rsidP="00000000" w:rsidRDefault="00000000" w:rsidRPr="00000000" w14:paraId="000000D9">
      <w:pPr>
        <w:pStyle w:val="Heading2"/>
        <w:rPr/>
      </w:pPr>
      <w:bookmarkStart w:colFirst="0" w:colLast="0" w:name="_370o2jgcdlbt" w:id="58"/>
      <w:bookmarkEnd w:id="58"/>
      <w:r w:rsidDel="00000000" w:rsidR="00000000" w:rsidRPr="00000000">
        <w:rPr>
          <w:rtl w:val="0"/>
        </w:rPr>
        <w:t xml:space="preserve">Useful links</w:t>
      </w:r>
    </w:p>
    <w:p w:rsidR="00000000" w:rsidDel="00000000" w:rsidP="00000000" w:rsidRDefault="00000000" w:rsidRPr="00000000" w14:paraId="000000DA">
      <w:pPr>
        <w:widowControl w:val="0"/>
        <w:numPr>
          <w:ilvl w:val="0"/>
          <w:numId w:val="12"/>
        </w:numPr>
        <w:spacing w:after="0" w:lineRule="auto"/>
        <w:ind w:left="720" w:hanging="360"/>
        <w:rPr>
          <w:sz w:val="28"/>
          <w:szCs w:val="28"/>
        </w:rPr>
      </w:pPr>
      <w:hyperlink r:id="rId46">
        <w:r w:rsidDel="00000000" w:rsidR="00000000" w:rsidRPr="00000000">
          <w:rPr>
            <w:color w:val="5B2A99"/>
            <w:u w:val="single"/>
            <w:rtl w:val="0"/>
          </w:rPr>
          <w:t xml:space="preserve">Coblis - Color Blindness Simulator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widowControl w:val="0"/>
        <w:numPr>
          <w:ilvl w:val="0"/>
          <w:numId w:val="12"/>
        </w:numPr>
        <w:spacing w:after="0" w:lineRule="auto"/>
        <w:ind w:left="720" w:hanging="360"/>
        <w:rPr>
          <w:sz w:val="28"/>
          <w:szCs w:val="28"/>
        </w:rPr>
      </w:pPr>
      <w:hyperlink r:id="rId47">
        <w:r w:rsidDel="00000000" w:rsidR="00000000" w:rsidRPr="00000000">
          <w:rPr>
            <w:color w:val="5B2A99"/>
            <w:u w:val="single"/>
            <w:rtl w:val="0"/>
          </w:rPr>
          <w:t xml:space="preserve">We are Colorblind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widowControl w:val="0"/>
        <w:numPr>
          <w:ilvl w:val="0"/>
          <w:numId w:val="12"/>
        </w:numPr>
        <w:spacing w:after="0" w:lineRule="auto"/>
        <w:ind w:left="720" w:hanging="360"/>
        <w:rPr>
          <w:sz w:val="28"/>
          <w:szCs w:val="28"/>
        </w:rPr>
      </w:pPr>
      <w:hyperlink r:id="rId48">
        <w:r w:rsidDel="00000000" w:rsidR="00000000" w:rsidRPr="00000000">
          <w:rPr>
            <w:color w:val="5B2A99"/>
            <w:u w:val="single"/>
            <w:rtl w:val="0"/>
          </w:rPr>
          <w:t xml:space="preserve">World Wide Web Consortium (W3C) - Use of Color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ind w:left="0" w:firstLine="0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sectPr>
      <w:footerReference w:type="default" r:id="rId186"/>
      <w:pgSz w:h="16834" w:w="11909" w:orient="portrait"/>
      <w:pgMar w:gutter="0"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tkinson Hyperlegible Next">
    <w:embedRegular r:id="rId1" w:fontKey="{BE75B3DF-6AEE-5AEF-83DA-D8D71F45874E}"/>
    <w:embedBold r:id="rId2" w:fontKey="{C7F33D43-A0F8-5A1E-8791-92000041034D}"/>
    <w:embedItalic r:id="rId3" w:fontKey="{571EBA20-B50D-562C-9DE2-D2144CB157C3}"/>
    <w:embedBoldItalic r:id="rId4" w:fontKey="{E611FCFD-E8ED-5B67-AA59-A12ADE94A736}"/>
  </w:font>
  <w:font w:name="Atkinson Hyperlegible Mono"/>
</w:fonts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029"/>
      </w:tabs>
    </w:pPr>
    <w:r>
      <w:rPr>
        <w:color w:val="4A3D5C"/>
        <w:sz w:val="20"/>
        <w:szCs w:val="20"/>
      </w:rPr>
      <w:t xml:space="preserve">Inclusion Toolkit by Abi Harrison</w:t>
    </w:r>
    <w:r>
      <w:rPr>
        <w:color w:val="4A3D5C"/>
        <w:sz w:val="20"/>
        <w:szCs w:val="20"/>
      </w:rPr>
      <w:noBreakHyphen/>
    </w:r>
    <w:r>
      <w:rPr>
        <w:color w:val="4A3D5C"/>
        <w:sz w:val="20"/>
        <w:szCs w:val="20"/>
      </w:rPr>
      <w:t xml:space="preserve">Nye</w:t>
    </w:r>
    <w:r>
      <w:rPr>
        <w:color w:val="4A3D5C"/>
        <w:sz w:val="20"/>
        <w:szCs w:val="20"/>
      </w:rPr>
      <w:t xml:space="preserve"> · </w:t>
    </w:r>
    <w:hyperlink r:id="rId1">
      <w:r>
        <w:rPr>
          <w:color w:val="5B2A99"/>
          <w:sz w:val="20"/>
          <w:szCs w:val="20"/>
          <w:u w:val="single"/>
        </w:rPr>
        <w:t xml:space="preserve">AbiHarrisonNye.dev</w:t>
      </w:r>
    </w:hyperlink>
    <w:r>
      <w:rPr>
        <w:color w:val="4A3D5C"/>
        <w:sz w:val="20"/>
        <w:szCs w:val="20"/>
      </w:rPr>
      <w:tab/>
    </w:r>
    <w:r>
      <w:rPr>
        <w:color w:val="4A3D5C"/>
        <w:sz w:val="20"/>
        <w:szCs w:val="20"/>
      </w:rPr>
      <w:t xml:space="preserve">Page </w:t>
    </w:r>
    <w:r>
      <w:rPr>
        <w:color w:val="4A3D5C"/>
        <w:sz w:val="20"/>
        <w:szCs w:val="20"/>
      </w:rPr>
      <w:fldChar w:fldCharType="begin"/>
    </w:r>
    <w:r>
      <w:rPr>
        <w:color w:val="4A3D5C"/>
        <w:sz w:val="20"/>
        <w:szCs w:val="20"/>
      </w:rPr>
      <w:instrText xml:space="preserve"> PAGE </w:instrText>
    </w:r>
    <w:r>
      <w:rPr>
        <w:color w:val="4A3D5C"/>
        <w:sz w:val="20"/>
        <w:szCs w:val="20"/>
      </w:rPr>
      <w:fldChar w:fldCharType="separate"/>
    </w:r>
    <w:r>
      <w:rPr>
        <w:color w:val="4A3D5C"/>
        <w:sz w:val="20"/>
        <w:szCs w:val="20"/>
      </w:rPr>
      <w:t xml:space="preserve">1</w:t>
    </w:r>
    <w:r>
      <w:rPr>
        <w:color w:val="4A3D5C"/>
        <w:sz w:val="20"/>
        <w:szCs w:val="20"/>
      </w:rPr>
      <w:fldChar w:fldCharType="end"/>
    </w:r>
    <w:r>
      <w:rPr>
        <w:color w:val="4A3D5C"/>
        <w:sz w:val="20"/>
        <w:szCs w:val="20"/>
      </w:rPr>
      <w:t xml:space="preserve"> of </w:t>
    </w:r>
    <w:r>
      <w:rPr>
        <w:color w:val="4A3D5C"/>
        <w:sz w:val="20"/>
        <w:szCs w:val="20"/>
      </w:rPr>
      <w:fldChar w:fldCharType="begin"/>
    </w:r>
    <w:r>
      <w:rPr>
        <w:color w:val="4A3D5C"/>
        <w:sz w:val="20"/>
        <w:szCs w:val="20"/>
      </w:rPr>
      <w:instrText xml:space="preserve"> NUMPAGES </w:instrText>
    </w:r>
    <w:r>
      <w:rPr>
        <w:color w:val="4A3D5C"/>
        <w:sz w:val="20"/>
        <w:szCs w:val="20"/>
      </w:rPr>
      <w:fldChar w:fldCharType="separate"/>
    </w:r>
    <w:r>
      <w:rPr>
        <w:color w:val="4A3D5C"/>
        <w:sz w:val="20"/>
        <w:szCs w:val="20"/>
      </w:rPr>
      <w:t xml:space="preserve">1</w:t>
    </w:r>
    <w:r>
      <w:rPr>
        <w:color w:val="4A3D5C"/>
        <w:sz w:val="20"/>
        <w:szCs w:val="20"/>
      </w:rPr>
      <w:fldChar w:fldCharType="end"/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righ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7"/>
    <w:lvlOverride w:ilvl="0">
      <w:startOverride w:val="1"/>
    </w:lvlOverride>
  </w:num>
  <w:num w:numId="40">
    <w:abstractNumId w:val="32"/>
    <w:lvlOverride w:ilvl="0">
      <w:startOverride w:val="1"/>
    </w:lvlOverride>
  </w:num>
  <w:num w:numId="41">
    <w:abstractNumId w:val="32"/>
    <w:lvlOverride w:ilvl="0">
      <w:startOverride w:val="1"/>
    </w:lvlOverride>
  </w:num>
  <w:num w:numId="42">
    <w:abstractNumId w:val="23"/>
    <w:lvlOverride w:ilvl="0">
      <w:startOverride w:val="1"/>
    </w:lvlOverride>
  </w:num>
  <w:num w:numId="43">
    <w:abstractNumId w:val="32"/>
    <w:lvlOverride w:ilvl="0">
      <w:startOverride w:val="1"/>
    </w:lvlOverride>
  </w:num>
  <w:num w:numId="44">
    <w:abstractNumId w:val="23"/>
    <w:lvlOverride w:ilvl="0">
      <w:startOverride w:val="1"/>
    </w:lvlOverride>
  </w:num>
  <w:num w:numId="45">
    <w:abstractNumId w:val="23"/>
    <w:lvlOverride w:ilvl="0">
      <w:startOverride w:val="1"/>
    </w:lvlOverride>
  </w:num>
  <w:num w:numId="46">
    <w:abstractNumId w:val="32"/>
    <w:lvlOverride w:ilvl="0">
      <w:startOverride w:val="1"/>
    </w:lvlOverride>
  </w:num>
  <w:num w:numId="47">
    <w:abstractNumId w:val="23"/>
    <w:lvlOverride w:ilvl="0">
      <w:startOverride w:val="1"/>
    </w:lvlOverride>
  </w:num>
  <w:num w:numId="48">
    <w:abstractNumId w:val="32"/>
    <w:lvlOverride w:ilvl="0">
      <w:startOverride w:val="1"/>
    </w:lvlOverride>
  </w:num>
  <w:num w:numId="49">
    <w:abstractNumId w:val="23"/>
    <w:lvlOverride w:ilvl="0">
      <w:startOverride w:val="1"/>
    </w:lvlOverride>
  </w:num>
  <w:num w:numId="50">
    <w:abstractNumId w:val="32"/>
    <w:lvlOverride w:ilvl="0">
      <w:startOverride w:val="1"/>
    </w:lvlOverride>
  </w:num>
  <w:num w:numId="51">
    <w:abstractNumId w:val="23"/>
    <w:lvlOverride w:ilvl="0">
      <w:startOverride w:val="1"/>
    </w:lvlOverride>
  </w:num>
  <w:num w:numId="52">
    <w:abstractNumId w:val="32"/>
    <w:lvlOverride w:ilvl="0">
      <w:startOverride w:val="1"/>
    </w:lvlOverride>
  </w:num>
  <w:num w:numId="53">
    <w:abstractNumId w:val="23"/>
    <w:lvlOverride w:ilvl="0">
      <w:startOverride w:val="1"/>
    </w:lvlOverride>
  </w:num>
  <w:num w:numId="54">
    <w:abstractNumId w:val="32"/>
    <w:lvlOverride w:ilvl="0">
      <w:startOverride w:val="1"/>
    </w:lvlOverride>
  </w:num>
  <w:num w:numId="55">
    <w:abstractNumId w:val="23"/>
    <w:lvlOverride w:ilvl="0">
      <w:startOverride w:val="1"/>
    </w:lvlOverride>
  </w:num>
  <w:num w:numId="56">
    <w:abstractNumId w:val="32"/>
    <w:lvlOverride w:ilvl="0">
      <w:startOverride w:val="1"/>
    </w:lvlOverride>
  </w:num>
  <w:num w:numId="57">
    <w:abstractNumId w:val="32"/>
    <w:lvlOverride w:ilvl="0">
      <w:startOverride w:val="1"/>
    </w:lvlOverride>
  </w:num>
  <w:num w:numId="58">
    <w:abstractNumId w:val="23"/>
    <w:lvlOverride w:ilvl="0">
      <w:startOverride w:val="1"/>
    </w:lvlOverride>
  </w:num>
  <w:num w:numId="59">
    <w:abstractNumId w:val="32"/>
    <w:lvlOverride w:ilvl="0">
      <w:startOverride w:val="1"/>
    </w:lvlOverride>
  </w:num>
  <w:num w:numId="60">
    <w:abstractNumId w:val="23"/>
    <w:lvlOverride w:ilvl="0">
      <w:startOverride w:val="1"/>
    </w:lvlOverride>
  </w:num>
  <w:num w:numId="61">
    <w:abstractNumId w:val="32"/>
    <w:lvlOverride w:ilvl="0">
      <w:startOverride w:val="1"/>
    </w:lvlOverride>
  </w:num>
  <w:num w:numId="62">
    <w:abstractNumId w:val="32"/>
    <w:lvlOverride w:ilvl="0">
      <w:startOverride w:val="1"/>
    </w:lvlOverride>
  </w:num>
  <w:num w:numId="63">
    <w:abstractNumId w:val="23"/>
    <w:lvlOverride w:ilvl="0">
      <w:startOverride w:val="1"/>
    </w:lvlOverride>
  </w:num>
  <w:num w:numId="64">
    <w:abstractNumId w:val="32"/>
    <w:lvlOverride w:ilvl="0">
      <w:startOverride w:val="1"/>
    </w:lvlOverride>
  </w:num>
  <w:num w:numId="65">
    <w:abstractNumId w:val="32"/>
    <w:lvlOverride w:ilvl="0">
      <w:startOverride w:val="1"/>
    </w:lvlOverride>
  </w:num>
  <w:num w:numId="66">
    <w:abstractNumId w:val="23"/>
    <w:lvlOverride w:ilvl="0">
      <w:startOverride w:val="1"/>
    </w:lvlOverride>
  </w:num>
  <w:num w:numId="67">
    <w:abstractNumId w:val="32"/>
    <w:lvlOverride w:ilvl="0">
      <w:startOverride w:val="1"/>
    </w:lvlOverride>
  </w:num>
  <w:num w:numId="68">
    <w:abstractNumId w:val="32"/>
    <w:lvlOverride w:ilvl="0">
      <w:startOverride w:val="1"/>
    </w:lvlOverride>
  </w:num>
  <w:num w:numId="69">
    <w:abstractNumId w:val="23"/>
    <w:lvlOverride w:ilvl="0">
      <w:startOverride w:val="1"/>
    </w:lvlOverride>
  </w:num>
  <w:num w:numId="70">
    <w:abstractNumId w:val="32"/>
    <w:lvlOverride w:ilvl="0">
      <w:startOverride w:val="1"/>
    </w:lvlOverride>
  </w:num>
  <w:num w:numId="71">
    <w:abstractNumId w:val="23"/>
    <w:lvlOverride w:ilvl="0">
      <w:startOverride w:val="1"/>
    </w:lvlOverride>
  </w:num>
  <w:num w:numId="72">
    <w:abstractNumId w:val="32"/>
    <w:lvlOverride w:ilvl="0">
      <w:startOverride w:val="1"/>
    </w:lvlOverride>
  </w:num>
  <w:num w:numId="73">
    <w:abstractNumId w:val="23"/>
    <w:lvlOverride w:ilvl="0">
      <w:startOverride w:val="1"/>
    </w:lvlOverride>
  </w:num>
  <w:num w:numId="74">
    <w:abstractNumId w:val="32"/>
    <w:lvlOverride w:ilvl="0">
      <w:startOverride w:val="1"/>
    </w:lvlOverride>
  </w:num>
  <w:num w:numId="75">
    <w:abstractNumId w:val="37"/>
    <w:lvlOverride w:ilvl="0">
      <w:startOverride w:val="1"/>
    </w:lvlOverride>
  </w:num>
  <w:num w:numId="76">
    <w:abstractNumId w:val="23"/>
    <w:lvlOverride w:ilvl="0">
      <w:startOverride w:val="1"/>
    </w:lvlOverride>
  </w:num>
  <w:num w:numId="77">
    <w:abstractNumId w:val="32"/>
    <w:lvlOverride w:ilvl="0">
      <w:startOverride w:val="1"/>
    </w:lvlOverride>
  </w:num>
  <w:num w:numId="78">
    <w:abstractNumId w:val="32"/>
    <w:lvlOverride w:ilvl="0">
      <w:startOverride w:val="1"/>
    </w:lvlOverride>
  </w:num>
  <w:num w:numId="79">
    <w:abstractNumId w:val="32"/>
    <w:lvlOverride w:ilvl="0">
      <w:startOverride w:val="1"/>
    </w:lvlOverride>
  </w:num>
  <w:num w:numId="80">
    <w:abstractNumId w:val="23"/>
    <w:lvlOverride w:ilvl="0">
      <w:startOverride w:val="1"/>
    </w:lvlOverride>
  </w:num>
  <w:num w:numId="81">
    <w:abstractNumId w:val="32"/>
    <w:lvlOverride w:ilvl="0">
      <w:startOverride w:val="1"/>
    </w:lvlOverride>
  </w:num>
  <w:num w:numId="82">
    <w:abstractNumId w:val="23"/>
    <w:lvlOverride w:ilvl="0">
      <w:startOverride w:val="1"/>
    </w:lvlOverride>
  </w:num>
  <w:num w:numId="83">
    <w:abstractNumId w:val="32"/>
    <w:lvlOverride w:ilvl="0">
      <w:startOverride w:val="1"/>
    </w:lvlOverride>
  </w:num>
  <w:num w:numId="84">
    <w:abstractNumId w:val="32"/>
    <w:lvlOverride w:ilvl="0">
      <w:startOverride w:val="1"/>
    </w:lvlOverride>
  </w:num>
  <w:num w:numId="85">
    <w:abstractNumId w:val="23"/>
    <w:lvlOverride w:ilvl="0">
      <w:startOverride w:val="1"/>
    </w:lvlOverride>
  </w:num>
  <w:num w:numId="86">
    <w:abstractNumId w:val="32"/>
    <w:lvlOverride w:ilvl="0">
      <w:startOverride w:val="1"/>
    </w:lvlOverride>
  </w:num>
  <w:num w:numId="87">
    <w:abstractNumId w:val="32"/>
    <w:lvlOverride w:ilvl="0">
      <w:startOverride w:val="1"/>
    </w:lvlOverride>
  </w:num>
  <w:num w:numId="88">
    <w:abstractNumId w:val="23"/>
    <w:lvlOverride w:ilvl="0">
      <w:startOverride w:val="1"/>
    </w:lvlOverride>
  </w:num>
  <w:num w:numId="89">
    <w:abstractNumId w:val="32"/>
    <w:lvlOverride w:ilvl="0">
      <w:startOverride w:val="1"/>
    </w:lvlOverride>
  </w:num>
  <w:num w:numId="90">
    <w:abstractNumId w:val="32"/>
    <w:lvlOverride w:ilvl="0">
      <w:startOverride w:val="1"/>
    </w:lvlOverride>
  </w:num>
  <w:num w:numId="91">
    <w:abstractNumId w:val="23"/>
    <w:lvlOverride w:ilvl="0">
      <w:startOverride w:val="1"/>
    </w:lvlOverride>
  </w:num>
  <w:num w:numId="92">
    <w:abstractNumId w:val="32"/>
    <w:lvlOverride w:ilvl="0">
      <w:startOverride w:val="1"/>
    </w:lvlOverride>
  </w:num>
  <w:num w:numId="93">
    <w:abstractNumId w:val="23"/>
    <w:lvlOverride w:ilvl="0">
      <w:startOverride w:val="1"/>
    </w:lvlOverride>
  </w:num>
  <w:num w:numId="94">
    <w:abstractNumId w:val="32"/>
    <w:lvlOverride w:ilvl="0">
      <w:startOverride w:val="1"/>
    </w:lvlOverride>
  </w:num>
  <w:num w:numId="95">
    <w:abstractNumId w:val="23"/>
    <w:lvlOverride w:ilvl="0">
      <w:startOverride w:val="1"/>
    </w:lvlOverride>
  </w:num>
  <w:num w:numId="96">
    <w:abstractNumId w:val="32"/>
    <w:lvlOverride w:ilvl="0">
      <w:startOverride w:val="1"/>
    </w:lvlOverride>
  </w:num>
  <w:num w:numId="97">
    <w:abstractNumId w:val="32"/>
    <w:lvlOverride w:ilvl="0">
      <w:startOverride w:val="1"/>
    </w:lvlOverride>
  </w:num>
  <w:num w:numId="98">
    <w:abstractNumId w:val="32"/>
    <w:lvlOverride w:ilvl="0">
      <w:startOverride w:val="1"/>
    </w:lvlOverride>
  </w:num>
  <w:num w:numId="99">
    <w:abstractNumId w:val="32"/>
    <w:lvlOverride w:ilvl="0">
      <w:startOverride w:val="1"/>
    </w:lvlOverride>
  </w:num>
  <w:num w:numId="100">
    <w:abstractNumId w:val="23"/>
    <w:lvlOverride w:ilvl="0">
      <w:startOverride w:val="1"/>
    </w:lvlOverride>
  </w:num>
  <w:num w:numId="101">
    <w:abstractNumId w:val="32"/>
    <w:lvlOverride w:ilvl="0">
      <w:startOverride w:val="1"/>
    </w:lvlOverride>
  </w:num>
  <w:num w:numId="102">
    <w:abstractNumId w:val="32"/>
    <w:lvlOverride w:ilvl="0">
      <w:startOverride w:val="1"/>
    </w:lvlOverride>
  </w:num>
  <w:num w:numId="103">
    <w:abstractNumId w:val="23"/>
    <w:lvlOverride w:ilvl="0">
      <w:startOverride w:val="1"/>
    </w:lvlOverride>
  </w:num>
  <w:num w:numId="104">
    <w:abstractNumId w:val="32"/>
    <w:lvlOverride w:ilvl="0">
      <w:startOverride w:val="1"/>
    </w:lvlOverride>
  </w:num>
  <w:num w:numId="105">
    <w:abstractNumId w:val="23"/>
    <w:lvlOverride w:ilvl="0">
      <w:startOverride w:val="1"/>
    </w:lvlOverride>
  </w:num>
  <w:num w:numId="106">
    <w:abstractNumId w:val="32"/>
    <w:lvlOverride w:ilvl="0">
      <w:startOverride w:val="1"/>
    </w:lvlOverride>
  </w:num>
  <w:num w:numId="107">
    <w:abstractNumId w:val="23"/>
    <w:lvlOverride w:ilvl="0">
      <w:startOverride w:val="1"/>
    </w:lvlOverride>
  </w:num>
  <w:num w:numId="108">
    <w:abstractNumId w:val="32"/>
    <w:lvlOverride w:ilvl="0">
      <w:startOverride w:val="1"/>
    </w:lvlOverride>
  </w:num>
  <w:num w:numId="109">
    <w:abstractNumId w:val="23"/>
    <w:lvlOverride w:ilvl="0">
      <w:startOverride w:val="1"/>
    </w:lvlOverride>
  </w:num>
  <w:num w:numId="110">
    <w:abstractNumId w:val="32"/>
    <w:lvlOverride w:ilvl="0">
      <w:startOverride w:val="1"/>
    </w:lvlOverride>
  </w:num>
  <w:num w:numId="111">
    <w:abstractNumId w:val="23"/>
    <w:lvlOverride w:ilvl="0">
      <w:startOverride w:val="1"/>
    </w:lvlOverride>
  </w:num>
  <w:num w:numId="112">
    <w:abstractNumId w:val="37"/>
    <w:lvlOverride w:ilvl="0">
      <w:startOverride w:val="1"/>
    </w:lvlOverride>
  </w:num>
  <w:num w:numId="113">
    <w:abstractNumId w:val="37"/>
    <w:lvlOverride w:ilvl="0">
      <w:startOverride w:val="1"/>
    </w:lvlOverride>
  </w:num>
  <w:num w:numId="114">
    <w:abstractNumId w:val="23"/>
    <w:lvlOverride w:ilvl="0">
      <w:startOverride w:val="1"/>
    </w:lvlOverride>
  </w:num>
  <w:num w:numId="115">
    <w:abstractNumId w:val="32"/>
    <w:lvlOverride w:ilvl="0">
      <w:startOverride w:val="1"/>
    </w:lvlOverride>
  </w:num>
  <w:num w:numId="116">
    <w:abstractNumId w:val="3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tkinson Hyperlegible Next" w:cs="Atkinson Hyperlegible Next" w:eastAsia="Atkinson Hyperlegible Next" w:hAnsi="Atkinson Hyperlegible Next"/>
        <w:sz w:val="24"/>
        <w:szCs w:val="24"/>
        <w:lang w:val="en-GB"/>
      </w:rPr>
    </w:rPrDefault>
    <w:pPrDefault>
      <w:pPr>
        <w:spacing w:after="280" w:line="36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bottom w:val="single" w:sz="36" w:space="8" w:color="CDB4FF"/>
      </w:pBdr>
      <w:spacing w:after="240" w:lineRule="auto"/>
      <w:jc w:val="center"/>
    </w:pPr>
    <w:rPr>
      <w:rFonts w:ascii="Atkinson Hyperlegible Next" w:cs="Atkinson Hyperlegible Next" w:eastAsia="Atkinson Hyperlegible Next" w:hAnsi="Atkinson Hyperlegible Next"/>
      <w:color w:val="5B2A99"/>
      <w:sz w:val="60"/>
      <w:szCs w:val="6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color w:val="5B2A99"/>
      <w:sz w:val="44"/>
      <w:szCs w:val="4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5B2A99"/>
      <w:sz w:val="36"/>
      <w:szCs w:val="36"/>
    </w:rPr>
  </w:style>
  <w:style w:type="paragraph" w:styleId="Heading4">
    <w:name w:val="heading 4"/>
    <w:basedOn w:val="Normal"/>
    <w:next w:val="Normal"/>
    <w:pPr>
      <w:keepNext w:val="1"/>
      <w:keepLines w:val="1"/>
      <w:shd w:fill="ffffff" w:val="clear"/>
      <w:spacing w:after="240" w:before="240" w:lineRule="auto"/>
    </w:pPr>
    <w:rPr>
      <w:color w:val="5B2A99"/>
      <w:sz w:val="32"/>
      <w:szCs w:val="32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sz w:val="28"/>
      <w:szCs w:val="28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545454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Bdr>
        <w:bottom w:val="single" w:sz="36" w:space="8" w:color="CDB4FF"/>
      </w:pBdr>
      <w:spacing w:after="240" w:lineRule="auto"/>
      <w:jc w:val="center"/>
    </w:pPr>
    <w:rPr>
      <w:color w:val="5B2A99"/>
      <w:sz w:val="60"/>
      <w:szCs w:val="6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tkinson Hyperlegible Next" w:cs="Atkinson Hyperlegible Next" w:eastAsia="Atkinson Hyperlegible Next" w:hAnsi="Atkinson Hyperlegible Next"/>
      <w:i w:val="0"/>
      <w:iCs w:val="0"/>
      <w:color w:val="545454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
<Relationships xmlns="http://schemas.openxmlformats.org/package/2006/relationships"><Relationship Id="rId46" Type="http://schemas.openxmlformats.org/officeDocument/2006/relationships/hyperlink" Target="https://www.color-blindness.com/coblis-color-blindness-simulator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48" Type="http://schemas.openxmlformats.org/officeDocument/2006/relationships/hyperlink" Target="https://www.w3.org/WAI/WCAG21/Understanding/use-of-color.html" TargetMode="External"/><Relationship Id="rId47" Type="http://schemas.openxmlformats.org/officeDocument/2006/relationships/hyperlink" Target="https://wearecolorblind.com/" TargetMode="External"/><Relationship Id="rId5" Type="http://schemas.openxmlformats.org/officeDocument/2006/relationships/styles" Target="styles.xml"/><Relationship Id="rId186" Type="http://schemas.openxmlformats.org/officeDocument/2006/relationships/footer" Target="footer1.xml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AtkinsonHyperlegibleNext-Regular.odttf"/><Relationship Id="rId2" Type="http://schemas.openxmlformats.org/officeDocument/2006/relationships/font" Target="fonts/AtkinsonHyperlegibleNext-Bold.odttf"/><Relationship Id="rId3" Type="http://schemas.openxmlformats.org/officeDocument/2006/relationships/font" Target="fonts/AtkinsonHyperlegibleNext-Italic.odttf"/><Relationship Id="rId4" Type="http://schemas.openxmlformats.org/officeDocument/2006/relationships/font" Target="fonts/AtkinsonHyperlegibleNext-BoldItalic.odttf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abiharrisonnye.d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tkinson Hyperlegible Nex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tkinson Hyperlegible Next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tkinson Hyperlegible Next"/>
        <a:font script="Hebr" typeface="Atkinson Hyperlegible Next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tkinson Hyperlegible Next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Colour Blindness</dc:title>
  <dc:subject>Inclusion Toolkit</dc:subject>
  <dc:creator>Abi Harrison-Nye</dc:creator>
  <cp:lastModifiedBy>Abi Harrison-Nye</cp:lastModifiedBy>
  <dc:language>en-GB</dc:language>
</cp:coreProperties>
</file>