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Consistency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Think about your favourite supermarket. You know roughly where everything is, and even if you visit a different branch, the layout follows the same pattern. Now imagine if every time you visited, the dairy aisle had moved, the signage used different words, and the tills were in a completely different spot. Even for someone with no disabilities, that would be exhausting and disorienting.</w:t>
      </w:r>
    </w:p>
    <w:p>
      <w:pPr>
        <w:rPr/>
      </w:pPr>
      <w:r>
        <w:rPr>
          <w:rtl w:val="0"/>
        </w:rPr>
        <w:t xml:space="preserve">Digital products work the same way. When navigation, buttons, and labels behave consistently across every page, users can build a mental map of the product and move around it confidently. When things shift unexpectedly, that mental map falls apart.</w:t>
      </w:r>
    </w:p>
    <w:p>
      <w:pPr>
        <w:rPr/>
      </w:pPr>
      <w:r>
        <w:rPr>
          <w:rtl w:val="0"/>
        </w:rPr>
        <w:t xml:space="preserve">This matters most for people with cognitive or learning disabilities, memory difficulties, ADHD, anxiety or dyslexia. For these users, inconsistency is not just annoying. It can make a product genuinely unusable.</w:t>
      </w:r>
    </w:p>
    <w:p>
      <w:pPr>
        <w:rPr/>
      </w:pPr>
      <w:r>
        <w:rPr>
          <w:rtl w:val="0"/>
        </w:rPr>
        <w:t xml:space="preserve">Consistency is something to take into account as part of day-to-day work.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Consistency is a shared responsibility across every discipline.</w:t>
      </w:r>
    </w:p>
    <w:p>
      <w:pPr>
        <w:numPr>
          <w:ilvl w:val="0"/>
          <w:numId w:val="59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Designers can ensure the same components are used for the same actions across every screen. If a primary button is yellow on one page, it should be yellow on every page.</w:t>
      </w:r>
    </w:p>
    <w:p>
      <w:pPr>
        <w:numPr>
          <w:ilvl w:val="0"/>
          <w:numId w:val="59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Content writers can use the same labels for the same things throughout a product. Calling something 'Sign in' on one page and 'Log in' on another creates unnecessary confusion.</w:t>
      </w:r>
    </w:p>
    <w:p>
      <w:pPr>
        <w:numPr>
          <w:ilvl w:val="0"/>
          <w:numId w:val="59"/>
        </w:numPr>
        <w:ind w:left="720" w:hanging="360"/>
        <w:rPr>
          <w:u w:val="none"/>
        </w:rPr>
      </w:pPr>
      <w:r>
        <w:rPr>
          <w:rtl w:val="0"/>
        </w:rPr>
        <w:t xml:space="preserve">Developers can build from a shared component library, so the same element always looks and works the same way. This is better than rebuilding it from scratch each time.</w:t>
      </w:r>
    </w:p>
    <w:p>
      <w:pPr>
        <w:rPr/>
      </w:pPr>
      <w:r>
        <w:rPr>
          <w:rtl w:val="0"/>
        </w:rPr>
        <w:t xml:space="preserve">Small inconsistencies that feel trivial to one person can be a significant barrier to another. Think of a menu that moves between pages, a button that changes its label halfway through a journey, or an icon that means different things in different places. Together, these make a product that users can't learn or predict.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60"/>
        </w:numPr>
        <w:spacing w:after="0" w:lineRule="auto"/>
        <w:ind w:left="720" w:hanging="360"/>
        <w:rPr>
          <w:sz w:val="28"/>
          <w:szCs w:val="28"/>
        </w:rPr>
      </w:pPr>
      <w:hyperlink r:id="rId118">
        <w:r>
          <w:rPr>
            <w:color w:val="5B2A99"/>
            <w:u w:val="single"/>
            <w:rtl w:val="0"/>
          </w:rPr>
          <w:t xml:space="preserve">Understanding SC 3.2.3: Consistent Navigation (Level AA)</w:t>
        </w:r>
      </w:hyperlink>
    </w:p>
    <w:p>
      <w:pPr>
        <w:widowControl w:val="0"/>
        <w:numPr>
          <w:ilvl w:val="0"/>
          <w:numId w:val="60"/>
        </w:numPr>
        <w:spacing w:after="0" w:lineRule="auto"/>
        <w:ind w:left="720" w:hanging="360"/>
        <w:rPr>
          <w:sz w:val="28"/>
          <w:szCs w:val="28"/>
        </w:rPr>
      </w:pPr>
      <w:hyperlink r:id="rId119">
        <w:r>
          <w:rPr>
            <w:color w:val="5B2A99"/>
            <w:u w:val="single"/>
            <w:rtl w:val="0"/>
          </w:rPr>
          <w:t xml:space="preserve">Making Content Usable for People with Cognitive and Learning Disabilities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18" Type="http://schemas.openxmlformats.org/officeDocument/2006/relationships/hyperlink" Target="https://www.w3.org/WAI/WCAG21/Understanding/consistent-navigation.html" TargetMode="External"/><Relationship Id="rId119" Type="http://schemas.openxmlformats.org/officeDocument/2006/relationships/hyperlink" Target="https://www.w3.org/TR/coga-usable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Consistency</dc:title>
  <dc:subject>Inclusion Toolkit</dc:subject>
  <dc:creator>Abi Harrison-Nye</dc:creator>
  <cp:lastModifiedBy>Abi Harrison-Nye</cp:lastModifiedBy>
  <dc:language>en-GB</dc:language>
</cp:coreProperties>
</file>