
<file path=[Content_Types].xml><?xml version="1.0" encoding="utf-8"?>
<Types xmlns="http://schemas.openxmlformats.org/package/2006/content-types">
  <Default Extension="png" ContentType="image/pn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pStyle w:val="Heading1"/>
        <w:rPr/>
      </w:pPr>
      <w:r>
        <w:rPr>
          <w:rtl w:val="0"/>
        </w:rPr>
        <w:t xml:space="preserve">Fonts</w:t>
      </w:r>
    </w:p>
    <w:p>
      <w:pPr>
        <w:pStyle w:val="Heading2"/>
        <w:rPr/>
      </w:pPr>
      <w:r>
        <w:rPr>
          <w:rtl w:val="0"/>
        </w:rPr>
        <w:t xml:space="preserve">What is it for?</w:t>
      </w:r>
    </w:p>
    <w:p>
      <w:pPr>
        <w:rPr/>
      </w:pPr>
      <w:r>
        <w:rPr>
          <w:rtl w:val="0"/>
        </w:rPr>
        <w:t xml:space="preserve">Fonts are used everywhere, whether that's in a Word document, in a design, in a slide deck, or on a website. Not all fonts are created equal. Many people will have come across Wingdings and similar fonts (Wingdings has an interesting history; for more information, see </w:t>
      </w:r>
      <w:hyperlink r:id="rId122">
        <w:r>
          <w:rPr>
            <w:color w:val="5B2A99"/>
            <w:u w:val="single"/>
            <w:rtl w:val="0"/>
          </w:rPr>
          <w:t xml:space="preserve">an article on Wingdings font history</w:t>
        </w:r>
      </w:hyperlink>
      <w:r>
        <w:rPr>
          <w:rtl w:val="0"/>
        </w:rPr>
        <w:t xml:space="preserve">), so we're all aware of fonts that are completely unreadable. However, some fonts may appear to be easy to read to some, but incredibly challenging for others.</w:t>
      </w:r>
    </w:p>
    <w:p>
      <w:pPr>
        <w:rPr/>
      </w:pPr>
      <w:r>
        <w:rPr>
          <w:rtl w:val="0"/>
        </w:rPr>
        <w:t xml:space="preserve">Fonts are impactful to everyone, but especially for the following people:</w:t>
      </w:r>
    </w:p>
    <w:p>
      <w:pPr>
        <w:numPr>
          <w:ilvl w:val="0"/>
          <w:numId w:val="64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People with reading difficulties (like dyslexia)</w:t>
      </w:r>
    </w:p>
    <w:p>
      <w:pPr>
        <w:numPr>
          <w:ilvl w:val="0"/>
          <w:numId w:val="64"/>
        </w:numPr>
        <w:ind w:left="720" w:hanging="360"/>
        <w:rPr>
          <w:u w:val="none"/>
        </w:rPr>
      </w:pPr>
      <w:r>
        <w:rPr>
          <w:rtl w:val="0"/>
        </w:rPr>
        <w:t xml:space="preserve">People with visual impairments</w:t>
      </w:r>
    </w:p>
    <w:p>
      <w:pPr>
        <w:pStyle w:val="Heading2"/>
        <w:rPr/>
      </w:pPr>
      <w:r>
        <w:rPr>
          <w:rtl w:val="0"/>
        </w:rPr>
        <w:t xml:space="preserve">How to support it</w:t>
      </w:r>
    </w:p>
    <w:p>
      <w:pPr>
        <w:rPr/>
      </w:pPr>
      <w:r>
        <w:rPr>
          <w:rtl w:val="0"/>
        </w:rPr>
        <w:t xml:space="preserve">This section focuses on what to look for when choosing a font.</w:t>
      </w:r>
    </w:p>
    <w:p>
      <w:pPr>
        <w:rPr/>
      </w:pPr>
      <w:r>
        <w:rPr>
          <w:rtl w:val="0"/>
        </w:rPr>
        <w:t xml:space="preserve">Mirroring is when a reader mixes up two characters, because one looks like the other turned around. For example, someone might read a lowercase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b</w:t>
      </w:r>
      <w:r>
        <w:rPr>
          <w:rtl w:val="0"/>
        </w:rPr>
        <w:t xml:space="preserve"> as a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d</w:t>
      </w:r>
      <w:r>
        <w:rPr>
          <w:rtl w:val="0"/>
        </w:rPr>
        <w:t xml:space="preserve">, or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6</w:t>
      </w:r>
      <w:r>
        <w:rPr>
          <w:rtl w:val="0"/>
        </w:rPr>
        <w:t xml:space="preserve"> as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9</w:t>
      </w:r>
      <w:r>
        <w:rPr>
          <w:rtl w:val="0"/>
        </w:rPr>
        <w:t xml:space="preserve">. This means the word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bog</w:t>
      </w:r>
      <w:r>
        <w:rPr>
          <w:rtl w:val="0"/>
        </w:rPr>
        <w:t xml:space="preserve"> could be read as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dog</w:t>
      </w:r>
      <w:r>
        <w:rPr>
          <w:rtl w:val="0"/>
        </w:rPr>
        <w:t xml:space="preserve">.</w:t>
      </w:r>
    </w:p>
    <w:p>
      <w:pPr>
        <w:rPr/>
      </w:pPr>
      <w:r>
        <w:rPr>
          <w:rtl w:val="0"/>
        </w:rPr>
        <w:t xml:space="preserve">Transposition is when letters seem to swap places. For people with dyslexia and other reading difficulties, this is often a bigger problem than mirroring. For example, someone might read “loin” as “lion”, or “lien” as “line”.</w:t>
      </w:r>
    </w:p>
    <w:p>
      <w:pPr>
        <w:rPr/>
      </w:pPr>
      <w:r>
        <w:rPr>
          <w:rtl w:val="0"/>
        </w:rPr>
        <w:t xml:space="preserve">To help with mirroring and transposition, choose a font where characters like these look clearly different from each other:</w:t>
      </w:r>
    </w:p>
    <w:p>
      <w:pPr>
        <w:numPr>
          <w:ilvl w:val="0"/>
          <w:numId w:val="65"/>
        </w:numPr>
        <w:spacing w:after="0" w:afterAutospacing="0"/>
        <w:ind w:left="720" w:hanging="360"/>
        <w:rPr>
          <w:u w:val="none"/>
        </w:rPr>
      </w:pP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q</w:t>
      </w:r>
      <w:r>
        <w:rPr>
          <w:rtl w:val="0"/>
        </w:rPr>
        <w:t xml:space="preserve">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p</w:t>
      </w:r>
    </w:p>
    <w:p>
      <w:pPr>
        <w:numPr>
          <w:ilvl w:val="0"/>
          <w:numId w:val="65"/>
        </w:numPr>
        <w:spacing w:after="0" w:afterAutospacing="0"/>
        <w:ind w:left="720" w:hanging="360"/>
        <w:rPr>
          <w:u w:val="none"/>
        </w:rPr>
      </w:pP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d</w:t>
      </w:r>
      <w:r>
        <w:rPr>
          <w:rtl w:val="0"/>
        </w:rPr>
        <w:t xml:space="preserve">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b</w:t>
      </w:r>
    </w:p>
    <w:p>
      <w:pPr>
        <w:numPr>
          <w:ilvl w:val="0"/>
          <w:numId w:val="65"/>
        </w:numPr>
        <w:spacing w:after="0" w:afterAutospacing="0"/>
        <w:ind w:left="720" w:hanging="360"/>
        <w:rPr>
          <w:u w:val="none"/>
        </w:rPr>
      </w:pP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0</w:t>
      </w:r>
      <w:r>
        <w:rPr>
          <w:rtl w:val="0"/>
        </w:rPr>
        <w:t xml:space="preserve">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O</w:t>
      </w:r>
    </w:p>
    <w:p>
      <w:pPr>
        <w:numPr>
          <w:ilvl w:val="0"/>
          <w:numId w:val="65"/>
        </w:numPr>
        <w:spacing w:after="0" w:afterAutospacing="0"/>
        <w:ind w:left="720" w:hanging="360"/>
        <w:rPr>
          <w:u w:val="none"/>
        </w:rPr>
      </w:pP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n</w:t>
      </w:r>
      <w:r>
        <w:rPr>
          <w:rtl w:val="0"/>
        </w:rPr>
        <w:t xml:space="preserve">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u</w:t>
      </w:r>
    </w:p>
    <w:p>
      <w:pPr>
        <w:numPr>
          <w:ilvl w:val="0"/>
          <w:numId w:val="65"/>
        </w:numPr>
        <w:spacing w:after="0" w:afterAutospacing="0"/>
        <w:ind w:left="720" w:hanging="360"/>
        <w:rPr>
          <w:u w:val="none"/>
        </w:rPr>
      </w:pP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i</w:t>
      </w:r>
      <w:r>
        <w:rPr>
          <w:rtl w:val="0"/>
        </w:rPr>
        <w:t xml:space="preserve">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l</w:t>
      </w:r>
      <w:r>
        <w:rPr>
          <w:rtl w:val="0"/>
        </w:rPr>
        <w:t xml:space="preserve">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1</w:t>
      </w:r>
      <w:r>
        <w:rPr>
          <w:rtl w:val="0"/>
        </w:rPr>
        <w:t xml:space="preserve">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I</w:t>
      </w:r>
    </w:p>
    <w:p>
      <w:pPr>
        <w:numPr>
          <w:ilvl w:val="0"/>
          <w:numId w:val="65"/>
        </w:numPr>
        <w:spacing w:after="0" w:afterAutospacing="0"/>
        <w:ind w:left="720" w:hanging="360"/>
        <w:rPr>
          <w:u w:val="none"/>
        </w:rPr>
      </w:pP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6</w:t>
      </w:r>
      <w:r>
        <w:rPr>
          <w:rtl w:val="0"/>
        </w:rPr>
        <w:t xml:space="preserve">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9</w:t>
      </w:r>
    </w:p>
    <w:p>
      <w:pPr>
        <w:numPr>
          <w:ilvl w:val="0"/>
          <w:numId w:val="65"/>
        </w:numPr>
        <w:spacing w:after="0" w:afterAutospacing="0"/>
        <w:ind w:left="720" w:hanging="360"/>
        <w:rPr>
          <w:u w:val="none"/>
        </w:rPr>
      </w:pP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a</w:t>
      </w:r>
      <w:r>
        <w:rPr>
          <w:rtl w:val="0"/>
        </w:rPr>
        <w:t xml:space="preserve">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8</w:t>
      </w:r>
    </w:p>
    <w:p>
      <w:pPr>
        <w:numPr>
          <w:ilvl w:val="0"/>
          <w:numId w:val="65"/>
        </w:numPr>
        <w:spacing w:after="0" w:afterAutospacing="0"/>
        <w:ind w:left="720" w:hanging="360"/>
        <w:rPr>
          <w:u w:val="none"/>
        </w:rPr>
      </w:pP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a</w:t>
      </w:r>
      <w:r>
        <w:rPr>
          <w:rtl w:val="0"/>
        </w:rPr>
        <w:t xml:space="preserve">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6</w:t>
      </w:r>
    </w:p>
    <w:p>
      <w:pPr>
        <w:numPr>
          <w:ilvl w:val="0"/>
          <w:numId w:val="65"/>
        </w:numPr>
        <w:spacing w:after="0" w:afterAutospacing="0"/>
        <w:ind w:left="720" w:hanging="360"/>
        <w:rPr>
          <w:u w:val="none"/>
        </w:rPr>
      </w:pP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6</w:t>
      </w:r>
      <w:r>
        <w:rPr>
          <w:rtl w:val="0"/>
        </w:rPr>
        <w:t xml:space="preserve">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g</w:t>
      </w:r>
      <w:r>
        <w:rPr>
          <w:rtl w:val="0"/>
        </w:rPr>
        <w:t xml:space="preserve">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9</w:t>
      </w:r>
    </w:p>
    <w:p>
      <w:pPr>
        <w:numPr>
          <w:ilvl w:val="0"/>
          <w:numId w:val="65"/>
        </w:numPr>
        <w:ind w:left="720" w:hanging="360"/>
        <w:rPr>
          <w:u w:val="none"/>
        </w:rPr>
      </w:pP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rn</w:t>
      </w:r>
      <w:r>
        <w:rPr>
          <w:rtl w:val="0"/>
        </w:rPr>
        <w:t xml:space="preserve">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m</w:t>
      </w:r>
    </w:p>
    <w:p>
      <w:pPr>
        <w:rPr/>
      </w:pPr>
      <w:r>
        <w:rPr>
          <w:rtl w:val="0"/>
        </w:rPr>
        <w:t xml:space="preserve">When choosing a font, especially a </w:t>
      </w:r>
      <w:hyperlink r:id="rId123">
        <w:r>
          <w:rPr>
            <w:color w:val="5B2A99"/>
            <w:u w:val="single"/>
            <w:rtl w:val="0"/>
          </w:rPr>
          <w:t xml:space="preserve">sans serif (Google Fonts glossary)</w:t>
        </w:r>
      </w:hyperlink>
      <w:r>
        <w:rPr>
          <w:rtl w:val="0"/>
        </w:rPr>
        <w:t xml:space="preserve">, compare the uppercase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I</w:t>
      </w:r>
      <w:r>
        <w:rPr>
          <w:rtl w:val="0"/>
        </w:rPr>
        <w:t xml:space="preserve">, lowercase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l</w:t>
      </w:r>
      <w:r>
        <w:rPr>
          <w:rtl w:val="0"/>
        </w:rPr>
        <w:t xml:space="preserve"> and number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1</w:t>
      </w:r>
      <w:r>
        <w:rPr>
          <w:rtl w:val="0"/>
        </w:rPr>
        <w:t xml:space="preserve">. In many fonts, all three are a single straight line, so they're easy to mix up. Look for a font that makes them different, for example a flat base on the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1</w:t>
      </w:r>
      <w:r>
        <w:rPr>
          <w:rtl w:val="0"/>
        </w:rPr>
        <w:t xml:space="preserve"> or a tail on the </w:t>
      </w:r>
      <w:r>
        <w:rPr>
          <w:rFonts w:ascii="Atkinson Hyperlegible Mono" w:cs="Atkinson Hyperlegible Mono" w:eastAsia="Atkinson Hyperlegible Mono" w:hAnsi="Atkinson Hyperlegible Mono"/>
          <w:color w:val="37474f"/>
          <w:sz w:val="21"/>
          <w:szCs w:val="21"/>
          <w:rtl w:val="0"/>
        </w:rPr>
        <w:t xml:space="preserve">l</w:t>
      </w:r>
      <w:r>
        <w:rPr>
          <w:rtl w:val="0"/>
        </w:rPr>
        <w:t xml:space="preserve">. Small differences in height or line thickness also help.</w:t>
      </w:r>
    </w:p>
    <w:p>
      <w:pPr>
        <w:rPr/>
      </w:pPr>
      <w:r>
        <w:rPr>
          <w:rtl w:val="0"/>
        </w:rPr>
        <w:t xml:space="preserve">Fonts such as Atkinson Hyperlegible Next have become popular with individuals who have visual or cognitive disabilities.</w:t>
      </w:r>
    </w:p>
    <w:p>
      <w:pPr>
        <w:pStyle w:val="Heading2"/>
        <w:rPr/>
      </w:pPr>
      <w:r>
        <w:rPr>
          <w:rtl w:val="0"/>
        </w:rPr>
        <w:t xml:space="preserve">Useful links</w:t>
      </w:r>
    </w:p>
    <w:p>
      <w:pPr>
        <w:widowControl w:val="0"/>
        <w:numPr>
          <w:ilvl w:val="0"/>
          <w:numId w:val="66"/>
        </w:numPr>
        <w:spacing w:after="0" w:lineRule="auto"/>
        <w:ind w:left="720" w:hanging="360"/>
        <w:rPr>
          <w:sz w:val="28"/>
          <w:szCs w:val="28"/>
        </w:rPr>
      </w:pPr>
      <w:hyperlink r:id="rId124">
        <w:r>
          <w:rPr>
            <w:color w:val="5B2A99"/>
            <w:u w:val="single"/>
            <w:rtl w:val="0"/>
          </w:rPr>
          <w:t xml:space="preserve">Introducing accessibility in typography</w:t>
        </w:r>
      </w:hyperlink>
    </w:p>
    <w:p>
      <w:pPr>
        <w:widowControl w:val="0"/>
        <w:numPr>
          <w:ilvl w:val="0"/>
          <w:numId w:val="66"/>
        </w:numPr>
        <w:spacing w:after="0" w:lineRule="auto"/>
        <w:ind w:left="720" w:hanging="360"/>
        <w:rPr>
          <w:sz w:val="28"/>
          <w:szCs w:val="28"/>
        </w:rPr>
      </w:pPr>
      <w:hyperlink r:id="rId125">
        <w:r>
          <w:rPr>
            <w:color w:val="5B2A99"/>
            <w:u w:val="single"/>
            <w:rtl w:val="0"/>
          </w:rPr>
          <w:t xml:space="preserve">Siteimprove: Accessible fonts</w:t>
        </w:r>
      </w:hyperlink>
    </w:p>
    <w:p>
      <w:pPr>
        <w:widowControl w:val="0"/>
        <w:numPr>
          <w:ilvl w:val="0"/>
          <w:numId w:val="66"/>
        </w:numPr>
        <w:spacing w:after="0" w:lineRule="auto"/>
        <w:ind w:left="720" w:hanging="360"/>
        <w:rPr>
          <w:sz w:val="28"/>
          <w:szCs w:val="28"/>
        </w:rPr>
      </w:pPr>
      <w:hyperlink r:id="rId126">
        <w:r>
          <w:rPr>
            <w:color w:val="5B2A99"/>
            <w:u w:val="single"/>
            <w:rtl w:val="0"/>
          </w:rPr>
          <w:t xml:space="preserve">What is an accessible font?</w:t>
        </w:r>
      </w:hyperlink>
      <w:r>
        <w:br w:type="page"/>
      </w:r>
    </w:p>
    <w:sectPr>
      <w:footerReference w:type="default" r:id="rId186"/>
      <w:pgSz w:h="16834" w:w="11909" w:orient="portrait"/>
      <w:pgMar w:gutter="0"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tkinson Hyperlegible Next">
    <w:embedRegular r:id="rId1" w:fontKey="{BE75B3DF-6AEE-5AEF-83DA-D8D71F45874E}"/>
    <w:embedBold r:id="rId2" w:fontKey="{C7F33D43-A0F8-5A1E-8791-92000041034D}"/>
    <w:embedItalic r:id="rId3" w:fontKey="{571EBA20-B50D-562C-9DE2-D2144CB157C3}"/>
    <w:embedBoldItalic r:id="rId4" w:fontKey="{E611FCFD-E8ED-5B67-AA59-A12ADE94A736}"/>
  </w:font>
  <w:font w:name="Atkinson Hyperlegible Mono">
    <w:embedRegular r:id="rId5" w:fontKey="{853CB6D9-4801-54E7-8793-249D019DCD1D}"/>
    <w:embedBold r:id="rId6" w:fontKey="{FFAEE88A-4760-5747-94BD-20161AF82826}"/>
    <w:embedItalic r:id="rId7" w:fontKey="{0F5B9BC8-3B91-551B-8551-E51DFDDEEFD2}"/>
    <w:embedBoldItalic r:id="rId8" w:fontKey="{473F8A97-30AE-5A1E-BF77-6AAB676335D3}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029"/>
      </w:tabs>
    </w:pPr>
    <w:r>
      <w:rPr>
        <w:color w:val="4A3D5C"/>
        <w:sz w:val="20"/>
        <w:szCs w:val="20"/>
      </w:rPr>
      <w:t xml:space="preserve">Inclusion Toolkit by Abi Harrison</w:t>
    </w:r>
    <w:r>
      <w:rPr>
        <w:color w:val="4A3D5C"/>
        <w:sz w:val="20"/>
        <w:szCs w:val="20"/>
      </w:rPr>
      <w:noBreakHyphen/>
    </w:r>
    <w:r>
      <w:rPr>
        <w:color w:val="4A3D5C"/>
        <w:sz w:val="20"/>
        <w:szCs w:val="20"/>
      </w:rPr>
      <w:t xml:space="preserve">Nye</w:t>
    </w:r>
    <w:r>
      <w:rPr>
        <w:color w:val="4A3D5C"/>
        <w:sz w:val="20"/>
        <w:szCs w:val="20"/>
      </w:rPr>
      <w:t xml:space="preserve"> · </w:t>
    </w:r>
    <w:hyperlink r:id="rId1">
      <w:r>
        <w:rPr>
          <w:color w:val="5B2A99"/>
          <w:sz w:val="20"/>
          <w:szCs w:val="20"/>
          <w:u w:val="single"/>
        </w:rPr>
        <w:t xml:space="preserve">AbiHarrisonNye.dev</w:t>
      </w:r>
    </w:hyperlink>
    <w:r>
      <w:rPr>
        <w:color w:val="4A3D5C"/>
        <w:sz w:val="20"/>
        <w:szCs w:val="20"/>
      </w:rPr>
      <w:tab/>
    </w:r>
    <w:r>
      <w:rPr>
        <w:color w:val="4A3D5C"/>
        <w:sz w:val="20"/>
        <w:szCs w:val="20"/>
      </w:rPr>
      <w:t xml:space="preserve">Page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PAGE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  <w:r>
      <w:rPr>
        <w:color w:val="4A3D5C"/>
        <w:sz w:val="20"/>
        <w:szCs w:val="20"/>
      </w:rPr>
      <w:t xml:space="preserve"> of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NUMPAGES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7"/>
    <w:lvlOverride w:ilvl="0">
      <w:startOverride w:val="1"/>
    </w:lvlOverride>
  </w:num>
  <w:num w:numId="40">
    <w:abstractNumId w:val="32"/>
    <w:lvlOverride w:ilvl="0">
      <w:startOverride w:val="1"/>
    </w:lvlOverride>
  </w:num>
  <w:num w:numId="41">
    <w:abstractNumId w:val="32"/>
    <w:lvlOverride w:ilvl="0">
      <w:startOverride w:val="1"/>
    </w:lvlOverride>
  </w:num>
  <w:num w:numId="42">
    <w:abstractNumId w:val="23"/>
    <w:lvlOverride w:ilvl="0">
      <w:startOverride w:val="1"/>
    </w:lvlOverride>
  </w:num>
  <w:num w:numId="43">
    <w:abstractNumId w:val="32"/>
    <w:lvlOverride w:ilvl="0">
      <w:startOverride w:val="1"/>
    </w:lvlOverride>
  </w:num>
  <w:num w:numId="44">
    <w:abstractNumId w:val="23"/>
    <w:lvlOverride w:ilvl="0">
      <w:startOverride w:val="1"/>
    </w:lvlOverride>
  </w:num>
  <w:num w:numId="45">
    <w:abstractNumId w:val="23"/>
    <w:lvlOverride w:ilvl="0">
      <w:startOverride w:val="1"/>
    </w:lvlOverride>
  </w:num>
  <w:num w:numId="46">
    <w:abstractNumId w:val="32"/>
    <w:lvlOverride w:ilvl="0">
      <w:startOverride w:val="1"/>
    </w:lvlOverride>
  </w:num>
  <w:num w:numId="47">
    <w:abstractNumId w:val="23"/>
    <w:lvlOverride w:ilvl="0">
      <w:startOverride w:val="1"/>
    </w:lvlOverride>
  </w:num>
  <w:num w:numId="48">
    <w:abstractNumId w:val="32"/>
    <w:lvlOverride w:ilvl="0">
      <w:startOverride w:val="1"/>
    </w:lvlOverride>
  </w:num>
  <w:num w:numId="49">
    <w:abstractNumId w:val="23"/>
    <w:lvlOverride w:ilvl="0">
      <w:startOverride w:val="1"/>
    </w:lvlOverride>
  </w:num>
  <w:num w:numId="50">
    <w:abstractNumId w:val="32"/>
    <w:lvlOverride w:ilvl="0">
      <w:startOverride w:val="1"/>
    </w:lvlOverride>
  </w:num>
  <w:num w:numId="51">
    <w:abstractNumId w:val="23"/>
    <w:lvlOverride w:ilvl="0">
      <w:startOverride w:val="1"/>
    </w:lvlOverride>
  </w:num>
  <w:num w:numId="52">
    <w:abstractNumId w:val="32"/>
    <w:lvlOverride w:ilvl="0">
      <w:startOverride w:val="1"/>
    </w:lvlOverride>
  </w:num>
  <w:num w:numId="53">
    <w:abstractNumId w:val="23"/>
    <w:lvlOverride w:ilvl="0">
      <w:startOverride w:val="1"/>
    </w:lvlOverride>
  </w:num>
  <w:num w:numId="54">
    <w:abstractNumId w:val="32"/>
    <w:lvlOverride w:ilvl="0">
      <w:startOverride w:val="1"/>
    </w:lvlOverride>
  </w:num>
  <w:num w:numId="55">
    <w:abstractNumId w:val="23"/>
    <w:lvlOverride w:ilvl="0">
      <w:startOverride w:val="1"/>
    </w:lvlOverride>
  </w:num>
  <w:num w:numId="56">
    <w:abstractNumId w:val="32"/>
    <w:lvlOverride w:ilvl="0">
      <w:startOverride w:val="1"/>
    </w:lvlOverride>
  </w:num>
  <w:num w:numId="57">
    <w:abstractNumId w:val="32"/>
    <w:lvlOverride w:ilvl="0">
      <w:startOverride w:val="1"/>
    </w:lvlOverride>
  </w:num>
  <w:num w:numId="58">
    <w:abstractNumId w:val="23"/>
    <w:lvlOverride w:ilvl="0">
      <w:startOverride w:val="1"/>
    </w:lvlOverride>
  </w:num>
  <w:num w:numId="59">
    <w:abstractNumId w:val="32"/>
    <w:lvlOverride w:ilvl="0">
      <w:startOverride w:val="1"/>
    </w:lvlOverride>
  </w:num>
  <w:num w:numId="60">
    <w:abstractNumId w:val="23"/>
    <w:lvlOverride w:ilvl="0">
      <w:startOverride w:val="1"/>
    </w:lvlOverride>
  </w:num>
  <w:num w:numId="61">
    <w:abstractNumId w:val="32"/>
    <w:lvlOverride w:ilvl="0">
      <w:startOverride w:val="1"/>
    </w:lvlOverride>
  </w:num>
  <w:num w:numId="62">
    <w:abstractNumId w:val="32"/>
    <w:lvlOverride w:ilvl="0">
      <w:startOverride w:val="1"/>
    </w:lvlOverride>
  </w:num>
  <w:num w:numId="63">
    <w:abstractNumId w:val="23"/>
    <w:lvlOverride w:ilvl="0">
      <w:startOverride w:val="1"/>
    </w:lvlOverride>
  </w:num>
  <w:num w:numId="64">
    <w:abstractNumId w:val="32"/>
    <w:lvlOverride w:ilvl="0">
      <w:startOverride w:val="1"/>
    </w:lvlOverride>
  </w:num>
  <w:num w:numId="65">
    <w:abstractNumId w:val="32"/>
    <w:lvlOverride w:ilvl="0">
      <w:startOverride w:val="1"/>
    </w:lvlOverride>
  </w:num>
  <w:num w:numId="66">
    <w:abstractNumId w:val="23"/>
    <w:lvlOverride w:ilvl="0">
      <w:startOverride w:val="1"/>
    </w:lvlOverride>
  </w:num>
  <w:num w:numId="67">
    <w:abstractNumId w:val="32"/>
    <w:lvlOverride w:ilvl="0">
      <w:startOverride w:val="1"/>
    </w:lvlOverride>
  </w:num>
  <w:num w:numId="68">
    <w:abstractNumId w:val="32"/>
    <w:lvlOverride w:ilvl="0">
      <w:startOverride w:val="1"/>
    </w:lvlOverride>
  </w:num>
  <w:num w:numId="69">
    <w:abstractNumId w:val="23"/>
    <w:lvlOverride w:ilvl="0">
      <w:startOverride w:val="1"/>
    </w:lvlOverride>
  </w:num>
  <w:num w:numId="70">
    <w:abstractNumId w:val="32"/>
    <w:lvlOverride w:ilvl="0">
      <w:startOverride w:val="1"/>
    </w:lvlOverride>
  </w:num>
  <w:num w:numId="71">
    <w:abstractNumId w:val="23"/>
    <w:lvlOverride w:ilvl="0">
      <w:startOverride w:val="1"/>
    </w:lvlOverride>
  </w:num>
  <w:num w:numId="72">
    <w:abstractNumId w:val="32"/>
    <w:lvlOverride w:ilvl="0">
      <w:startOverride w:val="1"/>
    </w:lvlOverride>
  </w:num>
  <w:num w:numId="73">
    <w:abstractNumId w:val="23"/>
    <w:lvlOverride w:ilvl="0">
      <w:startOverride w:val="1"/>
    </w:lvlOverride>
  </w:num>
  <w:num w:numId="74">
    <w:abstractNumId w:val="32"/>
    <w:lvlOverride w:ilvl="0">
      <w:startOverride w:val="1"/>
    </w:lvlOverride>
  </w:num>
  <w:num w:numId="75">
    <w:abstractNumId w:val="37"/>
    <w:lvlOverride w:ilvl="0">
      <w:startOverride w:val="1"/>
    </w:lvlOverride>
  </w:num>
  <w:num w:numId="76">
    <w:abstractNumId w:val="23"/>
    <w:lvlOverride w:ilvl="0">
      <w:startOverride w:val="1"/>
    </w:lvlOverride>
  </w:num>
  <w:num w:numId="77">
    <w:abstractNumId w:val="32"/>
    <w:lvlOverride w:ilvl="0">
      <w:startOverride w:val="1"/>
    </w:lvlOverride>
  </w:num>
  <w:num w:numId="78">
    <w:abstractNumId w:val="32"/>
    <w:lvlOverride w:ilvl="0">
      <w:startOverride w:val="1"/>
    </w:lvlOverride>
  </w:num>
  <w:num w:numId="79">
    <w:abstractNumId w:val="32"/>
    <w:lvlOverride w:ilvl="0">
      <w:startOverride w:val="1"/>
    </w:lvlOverride>
  </w:num>
  <w:num w:numId="80">
    <w:abstractNumId w:val="23"/>
    <w:lvlOverride w:ilvl="0">
      <w:startOverride w:val="1"/>
    </w:lvlOverride>
  </w:num>
  <w:num w:numId="81">
    <w:abstractNumId w:val="32"/>
    <w:lvlOverride w:ilvl="0">
      <w:startOverride w:val="1"/>
    </w:lvlOverride>
  </w:num>
  <w:num w:numId="82">
    <w:abstractNumId w:val="23"/>
    <w:lvlOverride w:ilvl="0">
      <w:startOverride w:val="1"/>
    </w:lvlOverride>
  </w:num>
  <w:num w:numId="83">
    <w:abstractNumId w:val="32"/>
    <w:lvlOverride w:ilvl="0">
      <w:startOverride w:val="1"/>
    </w:lvlOverride>
  </w:num>
  <w:num w:numId="84">
    <w:abstractNumId w:val="32"/>
    <w:lvlOverride w:ilvl="0">
      <w:startOverride w:val="1"/>
    </w:lvlOverride>
  </w:num>
  <w:num w:numId="85">
    <w:abstractNumId w:val="23"/>
    <w:lvlOverride w:ilvl="0">
      <w:startOverride w:val="1"/>
    </w:lvlOverride>
  </w:num>
  <w:num w:numId="86">
    <w:abstractNumId w:val="32"/>
    <w:lvlOverride w:ilvl="0">
      <w:startOverride w:val="1"/>
    </w:lvlOverride>
  </w:num>
  <w:num w:numId="87">
    <w:abstractNumId w:val="32"/>
    <w:lvlOverride w:ilvl="0">
      <w:startOverride w:val="1"/>
    </w:lvlOverride>
  </w:num>
  <w:num w:numId="88">
    <w:abstractNumId w:val="23"/>
    <w:lvlOverride w:ilvl="0">
      <w:startOverride w:val="1"/>
    </w:lvlOverride>
  </w:num>
  <w:num w:numId="89">
    <w:abstractNumId w:val="32"/>
    <w:lvlOverride w:ilvl="0">
      <w:startOverride w:val="1"/>
    </w:lvlOverride>
  </w:num>
  <w:num w:numId="90">
    <w:abstractNumId w:val="32"/>
    <w:lvlOverride w:ilvl="0">
      <w:startOverride w:val="1"/>
    </w:lvlOverride>
  </w:num>
  <w:num w:numId="91">
    <w:abstractNumId w:val="23"/>
    <w:lvlOverride w:ilvl="0">
      <w:startOverride w:val="1"/>
    </w:lvlOverride>
  </w:num>
  <w:num w:numId="92">
    <w:abstractNumId w:val="32"/>
    <w:lvlOverride w:ilvl="0">
      <w:startOverride w:val="1"/>
    </w:lvlOverride>
  </w:num>
  <w:num w:numId="93">
    <w:abstractNumId w:val="23"/>
    <w:lvlOverride w:ilvl="0">
      <w:startOverride w:val="1"/>
    </w:lvlOverride>
  </w:num>
  <w:num w:numId="94">
    <w:abstractNumId w:val="32"/>
    <w:lvlOverride w:ilvl="0">
      <w:startOverride w:val="1"/>
    </w:lvlOverride>
  </w:num>
  <w:num w:numId="95">
    <w:abstractNumId w:val="23"/>
    <w:lvlOverride w:ilvl="0">
      <w:startOverride w:val="1"/>
    </w:lvlOverride>
  </w:num>
  <w:num w:numId="96">
    <w:abstractNumId w:val="32"/>
    <w:lvlOverride w:ilvl="0">
      <w:startOverride w:val="1"/>
    </w:lvlOverride>
  </w:num>
  <w:num w:numId="97">
    <w:abstractNumId w:val="32"/>
    <w:lvlOverride w:ilvl="0">
      <w:startOverride w:val="1"/>
    </w:lvlOverride>
  </w:num>
  <w:num w:numId="98">
    <w:abstractNumId w:val="32"/>
    <w:lvlOverride w:ilvl="0">
      <w:startOverride w:val="1"/>
    </w:lvlOverride>
  </w:num>
  <w:num w:numId="99">
    <w:abstractNumId w:val="32"/>
    <w:lvlOverride w:ilvl="0">
      <w:startOverride w:val="1"/>
    </w:lvlOverride>
  </w:num>
  <w:num w:numId="100">
    <w:abstractNumId w:val="23"/>
    <w:lvlOverride w:ilvl="0">
      <w:startOverride w:val="1"/>
    </w:lvlOverride>
  </w:num>
  <w:num w:numId="101">
    <w:abstractNumId w:val="32"/>
    <w:lvlOverride w:ilvl="0">
      <w:startOverride w:val="1"/>
    </w:lvlOverride>
  </w:num>
  <w:num w:numId="102">
    <w:abstractNumId w:val="32"/>
    <w:lvlOverride w:ilvl="0">
      <w:startOverride w:val="1"/>
    </w:lvlOverride>
  </w:num>
  <w:num w:numId="103">
    <w:abstractNumId w:val="23"/>
    <w:lvlOverride w:ilvl="0">
      <w:startOverride w:val="1"/>
    </w:lvlOverride>
  </w:num>
  <w:num w:numId="104">
    <w:abstractNumId w:val="32"/>
    <w:lvlOverride w:ilvl="0">
      <w:startOverride w:val="1"/>
    </w:lvlOverride>
  </w:num>
  <w:num w:numId="105">
    <w:abstractNumId w:val="23"/>
    <w:lvlOverride w:ilvl="0">
      <w:startOverride w:val="1"/>
    </w:lvlOverride>
  </w:num>
  <w:num w:numId="106">
    <w:abstractNumId w:val="32"/>
    <w:lvlOverride w:ilvl="0">
      <w:startOverride w:val="1"/>
    </w:lvlOverride>
  </w:num>
  <w:num w:numId="107">
    <w:abstractNumId w:val="23"/>
    <w:lvlOverride w:ilvl="0">
      <w:startOverride w:val="1"/>
    </w:lvlOverride>
  </w:num>
  <w:num w:numId="108">
    <w:abstractNumId w:val="32"/>
    <w:lvlOverride w:ilvl="0">
      <w:startOverride w:val="1"/>
    </w:lvlOverride>
  </w:num>
  <w:num w:numId="109">
    <w:abstractNumId w:val="23"/>
    <w:lvlOverride w:ilvl="0">
      <w:startOverride w:val="1"/>
    </w:lvlOverride>
  </w:num>
  <w:num w:numId="110">
    <w:abstractNumId w:val="32"/>
    <w:lvlOverride w:ilvl="0">
      <w:startOverride w:val="1"/>
    </w:lvlOverride>
  </w:num>
  <w:num w:numId="111">
    <w:abstractNumId w:val="23"/>
    <w:lvlOverride w:ilvl="0">
      <w:startOverride w:val="1"/>
    </w:lvlOverride>
  </w:num>
  <w:num w:numId="112">
    <w:abstractNumId w:val="37"/>
    <w:lvlOverride w:ilvl="0">
      <w:startOverride w:val="1"/>
    </w:lvlOverride>
  </w:num>
  <w:num w:numId="113">
    <w:abstractNumId w:val="37"/>
    <w:lvlOverride w:ilvl="0">
      <w:startOverride w:val="1"/>
    </w:lvlOverride>
  </w:num>
  <w:num w:numId="114">
    <w:abstractNumId w:val="23"/>
    <w:lvlOverride w:ilvl="0">
      <w:startOverride w:val="1"/>
    </w:lvlOverride>
  </w:num>
  <w:num w:numId="115">
    <w:abstractNumId w:val="32"/>
    <w:lvlOverride w:ilvl="0">
      <w:startOverride w:val="1"/>
    </w:lvlOverride>
  </w:num>
  <w:num w:numId="116">
    <w:abstractNumId w:val="3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tkinson Hyperlegible Next" w:cs="Atkinson Hyperlegible Next" w:eastAsia="Atkinson Hyperlegible Next" w:hAnsi="Atkinson Hyperlegible Next"/>
        <w:sz w:val="24"/>
        <w:szCs w:val="24"/>
        <w:lang w:val="en-GB"/>
      </w:rPr>
    </w:rPrDefault>
    <w:pPrDefault>
      <w:pPr>
        <w:spacing w:after="28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rFonts w:ascii="Atkinson Hyperlegible Next" w:cs="Atkinson Hyperlegible Next" w:eastAsia="Atkinson Hyperlegible Next" w:hAnsi="Atkinson Hyperlegible Next"/>
      <w:color w:val="5B2A99"/>
      <w:sz w:val="60"/>
      <w:szCs w:val="6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color w:val="5B2A99"/>
      <w:sz w:val="44"/>
      <w:szCs w:val="4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5B2A99"/>
      <w:sz w:val="36"/>
      <w:szCs w:val="36"/>
    </w:rPr>
  </w:style>
  <w:style w:type="paragraph" w:styleId="Heading4">
    <w:name w:val="heading 4"/>
    <w:basedOn w:val="Normal"/>
    <w:next w:val="Normal"/>
    <w:pPr>
      <w:keepNext w:val="1"/>
      <w:keepLines w:val="1"/>
      <w:shd w:fill="ffffff" w:val="clear"/>
      <w:spacing w:after="240" w:before="240" w:lineRule="auto"/>
    </w:pPr>
    <w:rPr>
      <w:color w:val="5B2A99"/>
      <w:sz w:val="32"/>
      <w:szCs w:val="32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545454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color w:val="5B2A99"/>
      <w:sz w:val="60"/>
      <w:szCs w:val="6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tkinson Hyperlegible Next" w:cs="Atkinson Hyperlegible Next" w:eastAsia="Atkinson Hyperlegible Next" w:hAnsi="Atkinson Hyperlegible Next"/>
      <w:i w:val="0"/>
      <w:iCs w:val="0"/>
      <w:color w:val="545454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122" Type="http://schemas.openxmlformats.org/officeDocument/2006/relationships/hyperlink" Target="https://www.vox.com/2015/8/25/9200801/wingdings-font-history" TargetMode="External"/><Relationship Id="rId123" Type="http://schemas.openxmlformats.org/officeDocument/2006/relationships/hyperlink" Target="https://fonts.google.com/knowledge/glossary/sans_serif" TargetMode="External"/><Relationship Id="rId124" Type="http://schemas.openxmlformats.org/officeDocument/2006/relationships/hyperlink" Target="https://fonts.google.com/knowledge/readability_and_accessibility/introducing_accessibility_in_typography" TargetMode="External"/><Relationship Id="rId125" Type="http://schemas.openxmlformats.org/officeDocument/2006/relationships/hyperlink" Target="https://www.siteimprove.com/glossary/accessible-fonts/" TargetMode="External"/><Relationship Id="rId126" Type="http://schemas.openxmlformats.org/officeDocument/2006/relationships/hyperlink" Target="https://www.accessibilitychecking.com/blog/fonts-accessibility/" TargetMode="External"/><Relationship Id="rId186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AtkinsonHyperlegibleNext-Regular.odttf"/><Relationship Id="rId2" Type="http://schemas.openxmlformats.org/officeDocument/2006/relationships/font" Target="fonts/AtkinsonHyperlegibleNext-Bold.odttf"/><Relationship Id="rId3" Type="http://schemas.openxmlformats.org/officeDocument/2006/relationships/font" Target="fonts/AtkinsonHyperlegibleNext-Italic.odttf"/><Relationship Id="rId4" Type="http://schemas.openxmlformats.org/officeDocument/2006/relationships/font" Target="fonts/AtkinsonHyperlegibleNext-BoldItalic.odttf"/><Relationship Id="rId5" Type="http://schemas.openxmlformats.org/officeDocument/2006/relationships/font" Target="fonts/AtkinsonHyperlegibleMono-Regular.odttf"/><Relationship Id="rId6" Type="http://schemas.openxmlformats.org/officeDocument/2006/relationships/font" Target="fonts/AtkinsonHyperlegibleMono-Bold.odttf"/><Relationship Id="rId7" Type="http://schemas.openxmlformats.org/officeDocument/2006/relationships/font" Target="fonts/AtkinsonHyperlegibleMono-Italic.odttf"/><Relationship Id="rId8" Type="http://schemas.openxmlformats.org/officeDocument/2006/relationships/font" Target="fonts/AtkinsonHyperlegibleMono-BoldItalic.odttf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abiharrisonnye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tkinson Hyperlegible Nex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tkinson Hyperlegible Nex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tkinson Hyperlegible Next"/>
        <a:font script="Hebr" typeface="Atkinson Hyperlegible Next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tkinson Hyperlegible Next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Fonts</dc:title>
  <dc:subject>Inclusion Toolkit</dc:subject>
  <dc:creator>Abi Harrison-Nye</dc:creator>
  <cp:lastModifiedBy>Abi Harrison-Nye</cp:lastModifiedBy>
  <dc:language>en-GB</dc:language>
</cp:coreProperties>
</file>